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OSNOVNA ŠKOLA MIROSLAVA KRLEŽE</w:t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ČEPIN, Kralja Zvonimira 100.</w:t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RKP: 9600</w:t>
      </w:r>
    </w:p>
    <w:p w:rsidR="003848AE" w:rsidRDefault="003848AE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OIB: 99061834293</w:t>
      </w:r>
    </w:p>
    <w:p w:rsidR="003848AE" w:rsidRDefault="002C0911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Čepin, 14. ožujka 2024.g.</w:t>
      </w:r>
    </w:p>
    <w:p w:rsidR="002C0911" w:rsidRDefault="002C0911" w:rsidP="009A2D24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9A2D24" w:rsidRPr="00DB6B51" w:rsidRDefault="009A2D24" w:rsidP="002C091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DB6B51">
        <w:rPr>
          <w:rFonts w:ascii="Calibri" w:eastAsia="Times New Roman" w:hAnsi="Calibri" w:cs="Calibri"/>
          <w:b/>
        </w:rPr>
        <w:t>OBRAZLOŽENJE</w:t>
      </w:r>
      <w:r w:rsidR="00AC4004">
        <w:rPr>
          <w:rFonts w:ascii="Calibri" w:eastAsia="Times New Roman" w:hAnsi="Calibri" w:cs="Calibri"/>
          <w:b/>
        </w:rPr>
        <w:t xml:space="preserve"> </w:t>
      </w:r>
      <w:r w:rsidRPr="00DB6B51">
        <w:rPr>
          <w:rFonts w:ascii="Calibri" w:eastAsia="Times New Roman" w:hAnsi="Calibri" w:cs="Calibri"/>
          <w:b/>
        </w:rPr>
        <w:t>GODIŠNJEG IZVJEŠTAJA O IZVRŠENJU FINANCIJSKOG PLANA ZA 2023. GODINU</w:t>
      </w:r>
    </w:p>
    <w:p w:rsidR="009A2D24" w:rsidRPr="00DB6B51" w:rsidRDefault="009A2D24" w:rsidP="009A2D2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Izvještaj o izvršenju financijskog plana prati jesu li se i u kojim iznosima ostvarile planirane pozicije prihoda, primitaka, rashoda, izdataka, viškova i manjkova unutar  razdoblja.</w:t>
      </w: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Sadržaj, podnošenje i donošenje izvještaja o izvršenju financijskog plana proračunskog korisnika propisani su u čl. 81.- 87. Zakona o proračunu (N</w:t>
      </w:r>
      <w:r w:rsidR="003848AE">
        <w:rPr>
          <w:rFonts w:ascii="Calibri" w:eastAsia="Times New Roman" w:hAnsi="Calibri" w:cs="Calibri"/>
        </w:rPr>
        <w:t xml:space="preserve">N </w:t>
      </w:r>
      <w:r w:rsidRPr="00DB6B51">
        <w:rPr>
          <w:rFonts w:ascii="Calibri" w:eastAsia="Times New Roman" w:hAnsi="Calibri" w:cs="Calibri"/>
        </w:rPr>
        <w:t>br. 144/21.).</w:t>
      </w:r>
      <w:r w:rsidR="003848AE">
        <w:rPr>
          <w:rFonts w:ascii="Calibri" w:eastAsia="Times New Roman" w:hAnsi="Calibri" w:cs="Calibri"/>
        </w:rPr>
        <w:t xml:space="preserve"> i Pravilniku o polugodišnjem i godišnjem izvještaju o izvršenju proračuna i financijskog plana (NN  br.85/2023-(1336).</w:t>
      </w: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U polugodišnjem izvještaju o izvršenju financijskog plana plan prihoda i primitaka te rashoda i izdataka prikazuje se na razini skupine ekonomske klasifikacije (druga razina računskog plana), a njihovo ostvarenje/izvršenje na razini odjeljka ekonomske klasifikacije (četvrta razina računskog plana).</w:t>
      </w:r>
    </w:p>
    <w:p w:rsidR="009A2D24" w:rsidRPr="00DB6B51" w:rsidRDefault="00AC4004" w:rsidP="002C0911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</w:t>
      </w:r>
      <w:r w:rsidR="009A2D24" w:rsidRPr="00DB6B51">
        <w:rPr>
          <w:rFonts w:ascii="Calibri" w:eastAsia="Times New Roman" w:hAnsi="Calibri" w:cs="Calibri"/>
        </w:rPr>
        <w:t>odišnji izvještaja o izvršenju Financijskog plana za 2023. sadrži prikaz svih prihoda i primitaka i rashoda i izdataka u razdoblju za koje se sastavlja, a prikazuje se kroz: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Opći dio (sažetka računa prihoda i rashoda, račun financiranja, preneseni višak)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Posebni dio (izvršenje rashoda i izdataka proračunskih korisnika) i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 xml:space="preserve">Obrazloženje (obrazloženje općeg dijela i posebnog dijela financijskog plana) </w:t>
      </w:r>
    </w:p>
    <w:p w:rsidR="009A2D24" w:rsidRPr="00DB6B51" w:rsidRDefault="009A2D24" w:rsidP="002C091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B6B51">
        <w:rPr>
          <w:rFonts w:ascii="Calibri" w:eastAsia="Times New Roman" w:hAnsi="Calibri" w:cs="Calibri"/>
        </w:rPr>
        <w:t>Posebne izvještaje</w:t>
      </w:r>
      <w:bookmarkStart w:id="0" w:name="_GoBack"/>
      <w:bookmarkEnd w:id="0"/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9A2D24" w:rsidRPr="00DB6B51" w:rsidRDefault="009A2D24" w:rsidP="002C0911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9A2D24" w:rsidRPr="00AC154B" w:rsidRDefault="009A2D24" w:rsidP="002C0911">
      <w:pPr>
        <w:jc w:val="both"/>
      </w:pPr>
      <w:r w:rsidRPr="00AC154B">
        <w:t>Izvještaj o izvršenju financijskog plana prati jesu li se i u kojim iznosima ostvarile planirane pozicije prihoda, primitaka, rashoda, izdataka, viškova i manjkova unutar jedne godine.</w:t>
      </w:r>
    </w:p>
    <w:p w:rsidR="009A2D24" w:rsidRPr="00AC154B" w:rsidRDefault="009A2D24" w:rsidP="002C0911">
      <w:pPr>
        <w:jc w:val="both"/>
      </w:pPr>
      <w:r w:rsidRPr="00AC154B">
        <w:t>Sadržaj, podnošenje i donošenje izvještaja o izvršenju financijskog plana proračunskog korisnika propisani su u čl. 81.- 87. Zakona o proračunu (Nar. Nov., br. 144/21.).</w:t>
      </w:r>
    </w:p>
    <w:p w:rsidR="009A2D24" w:rsidRDefault="009A2D24" w:rsidP="002C0911">
      <w:pPr>
        <w:jc w:val="both"/>
      </w:pPr>
    </w:p>
    <w:p w:rsidR="009A2D24" w:rsidRPr="0006155F" w:rsidRDefault="009A2D24" w:rsidP="002C0911">
      <w:pPr>
        <w:jc w:val="both"/>
        <w:rPr>
          <w:rFonts w:cstheme="minorHAnsi"/>
        </w:rPr>
      </w:pPr>
      <w:r w:rsidRPr="0006155F">
        <w:rPr>
          <w:rFonts w:cstheme="minorHAnsi"/>
        </w:rPr>
        <w:t>OPĆI DIO</w:t>
      </w:r>
    </w:p>
    <w:p w:rsidR="009A2D24" w:rsidRPr="0006155F" w:rsidRDefault="0098192C" w:rsidP="002C0911">
      <w:pPr>
        <w:jc w:val="both"/>
        <w:rPr>
          <w:rStyle w:val="Neupadljivoisticanje"/>
          <w:rFonts w:cstheme="minorHAnsi"/>
          <w:i w:val="0"/>
          <w:iCs w:val="0"/>
        </w:rPr>
      </w:pPr>
      <w:r>
        <w:rPr>
          <w:rStyle w:val="Neupadljivoisticanje"/>
          <w:rFonts w:cstheme="minorHAnsi"/>
        </w:rPr>
        <w:t xml:space="preserve">Osnovna škola Miroslava Krleže, Čepin </w:t>
      </w:r>
      <w:r w:rsidR="009A2D24" w:rsidRPr="0006155F">
        <w:rPr>
          <w:rStyle w:val="Neupadljivoisticanje"/>
          <w:rFonts w:cstheme="minorHAnsi"/>
        </w:rPr>
        <w:t xml:space="preserve"> u razdoblju 01. siječnja do 3</w:t>
      </w:r>
      <w:r w:rsidR="00AC4004">
        <w:rPr>
          <w:rStyle w:val="Neupadljivoisticanje"/>
          <w:rFonts w:cstheme="minorHAnsi"/>
        </w:rPr>
        <w:t>1</w:t>
      </w:r>
      <w:r w:rsidR="009A2D24" w:rsidRPr="0006155F">
        <w:rPr>
          <w:rStyle w:val="Neupadljivoisticanje"/>
          <w:rFonts w:cstheme="minorHAnsi"/>
        </w:rPr>
        <w:t xml:space="preserve">. </w:t>
      </w:r>
      <w:r w:rsidR="00AC4004">
        <w:rPr>
          <w:rStyle w:val="Neupadljivoisticanje"/>
          <w:rFonts w:cstheme="minorHAnsi"/>
        </w:rPr>
        <w:t>prosinca</w:t>
      </w:r>
      <w:r w:rsidR="009A2D24" w:rsidRPr="0006155F">
        <w:rPr>
          <w:rStyle w:val="Neupadljivoisticanje"/>
          <w:rFonts w:cstheme="minorHAnsi"/>
        </w:rPr>
        <w:t xml:space="preserve">  2023. godine ostvarila je ukupne prihode u iznosu </w:t>
      </w:r>
      <w:r w:rsidR="00AC4004">
        <w:rPr>
          <w:rStyle w:val="Neupadljivoisticanje"/>
          <w:rFonts w:cstheme="minorHAnsi"/>
        </w:rPr>
        <w:t>1.279.184,16</w:t>
      </w:r>
      <w:r w:rsidR="009A2D24" w:rsidRPr="0006155F">
        <w:rPr>
          <w:rStyle w:val="Neupadljivoisticanje"/>
          <w:rFonts w:cstheme="minorHAnsi"/>
        </w:rPr>
        <w:t xml:space="preserve"> </w:t>
      </w:r>
      <w:r>
        <w:rPr>
          <w:rStyle w:val="Neupadljivoisticanje"/>
          <w:rFonts w:cstheme="minorHAnsi"/>
        </w:rPr>
        <w:t>€</w:t>
      </w:r>
      <w:r w:rsidR="009A2D24" w:rsidRPr="0006155F">
        <w:rPr>
          <w:rStyle w:val="Neupadljivoisticanje"/>
          <w:rFonts w:cstheme="minorHAnsi"/>
        </w:rPr>
        <w:t xml:space="preserve">, rashodi su ostvareni u iznosu od  </w:t>
      </w:r>
      <w:r w:rsidR="00AC4004">
        <w:rPr>
          <w:rStyle w:val="Neupadljivoisticanje"/>
          <w:rFonts w:cstheme="minorHAnsi"/>
        </w:rPr>
        <w:t>1.316.171,25</w:t>
      </w:r>
      <w:r w:rsidR="009A2D24" w:rsidRPr="0006155F">
        <w:rPr>
          <w:rStyle w:val="Neupadljivoisticanje"/>
          <w:rFonts w:cstheme="minorHAnsi"/>
        </w:rPr>
        <w:t xml:space="preserve"> </w:t>
      </w:r>
      <w:r>
        <w:rPr>
          <w:rStyle w:val="Neupadljivoisticanje"/>
          <w:rFonts w:cstheme="minorHAnsi"/>
        </w:rPr>
        <w:t>€</w:t>
      </w:r>
      <w:r w:rsidR="009A2D24" w:rsidRPr="0006155F">
        <w:rPr>
          <w:rStyle w:val="Neupadljivoisticanje"/>
          <w:rFonts w:cstheme="minorHAnsi"/>
        </w:rPr>
        <w:t xml:space="preserve">, te je ostvareni manjak za navedeno razdoblje u iznosu od </w:t>
      </w:r>
      <w:r w:rsidR="00AC4004">
        <w:rPr>
          <w:rStyle w:val="Neupadljivoisticanje"/>
          <w:rFonts w:cstheme="minorHAnsi"/>
        </w:rPr>
        <w:t>36.987,09</w:t>
      </w:r>
      <w:r>
        <w:rPr>
          <w:rStyle w:val="Neupadljivoisticanje"/>
          <w:rFonts w:cstheme="minorHAnsi"/>
        </w:rPr>
        <w:t xml:space="preserve"> €</w:t>
      </w:r>
      <w:r w:rsidR="009A2D24" w:rsidRPr="0006155F">
        <w:rPr>
          <w:rStyle w:val="Neupadljivoisticanje"/>
          <w:rFonts w:cstheme="minorHAnsi"/>
        </w:rPr>
        <w:t xml:space="preserve">.  Ukupni prihodi realizirani su na razini </w:t>
      </w:r>
      <w:r w:rsidR="00AC4004">
        <w:rPr>
          <w:rStyle w:val="Neupadljivoisticanje"/>
          <w:rFonts w:cstheme="minorHAnsi"/>
        </w:rPr>
        <w:t>87,15</w:t>
      </w:r>
      <w:r w:rsidR="009A2D24" w:rsidRPr="0006155F">
        <w:rPr>
          <w:rStyle w:val="Neupadljivoisticanje"/>
          <w:rFonts w:cstheme="minorHAnsi"/>
        </w:rPr>
        <w:t>% u odnosu na pla</w:t>
      </w:r>
      <w:r>
        <w:rPr>
          <w:rStyle w:val="Neupadljivoisticanje"/>
          <w:rFonts w:cstheme="minorHAnsi"/>
        </w:rPr>
        <w:t>nirane</w:t>
      </w:r>
      <w:r w:rsidR="009A2D24" w:rsidRPr="0006155F">
        <w:rPr>
          <w:rStyle w:val="Neupadljivoisticanje"/>
          <w:rFonts w:cstheme="minorHAnsi"/>
        </w:rPr>
        <w:t xml:space="preserve"> vrijednosti.  Ukupni rashodi realizirani su na razini </w:t>
      </w:r>
      <w:r w:rsidR="00AC4004">
        <w:rPr>
          <w:rStyle w:val="Neupadljivoisticanje"/>
          <w:rFonts w:cstheme="minorHAnsi"/>
        </w:rPr>
        <w:t>88,47</w:t>
      </w:r>
      <w:r w:rsidR="009A2D24" w:rsidRPr="0006155F">
        <w:rPr>
          <w:rStyle w:val="Neupadljivoisticanje"/>
          <w:rFonts w:cstheme="minorHAnsi"/>
        </w:rPr>
        <w:t xml:space="preserve">% u odnosu na planirano.  </w:t>
      </w:r>
    </w:p>
    <w:p w:rsidR="009A2D24" w:rsidRPr="003848AE" w:rsidRDefault="009A2D24" w:rsidP="002C0911">
      <w:pPr>
        <w:jc w:val="both"/>
        <w:rPr>
          <w:rFonts w:cstheme="minorHAnsi"/>
          <w:color w:val="000000" w:themeColor="text1"/>
        </w:rPr>
      </w:pPr>
      <w:r w:rsidRPr="003848AE">
        <w:rPr>
          <w:rStyle w:val="Neupadljivoisticanje"/>
          <w:rFonts w:cstheme="minorHAnsi"/>
          <w:color w:val="000000" w:themeColor="text1"/>
        </w:rPr>
        <w:t xml:space="preserve">Na dan 31.12.2022. godine </w:t>
      </w:r>
      <w:r w:rsidRPr="003848AE">
        <w:rPr>
          <w:rFonts w:cstheme="minorHAnsi"/>
          <w:i/>
          <w:iCs/>
          <w:color w:val="000000" w:themeColor="text1"/>
        </w:rPr>
        <w:t xml:space="preserve"> iskazan je višak prihoda poslovanja u iznosu </w:t>
      </w:r>
      <w:r w:rsidR="0098192C" w:rsidRPr="003848AE">
        <w:rPr>
          <w:rFonts w:cstheme="minorHAnsi"/>
          <w:i/>
          <w:iCs/>
          <w:color w:val="000000" w:themeColor="text1"/>
        </w:rPr>
        <w:t>63.050,22</w:t>
      </w:r>
      <w:r w:rsidRPr="003848AE">
        <w:rPr>
          <w:rFonts w:cstheme="minorHAnsi"/>
          <w:i/>
          <w:iCs/>
          <w:color w:val="000000" w:themeColor="text1"/>
        </w:rPr>
        <w:t xml:space="preserve"> </w:t>
      </w:r>
      <w:r w:rsidR="0098192C" w:rsidRPr="003848AE">
        <w:rPr>
          <w:rFonts w:cstheme="minorHAnsi"/>
          <w:i/>
          <w:iCs/>
          <w:color w:val="000000" w:themeColor="text1"/>
        </w:rPr>
        <w:t>€</w:t>
      </w:r>
      <w:r w:rsidRPr="003848AE">
        <w:rPr>
          <w:rFonts w:cstheme="minorHAnsi"/>
          <w:i/>
          <w:iCs/>
          <w:color w:val="000000" w:themeColor="text1"/>
        </w:rPr>
        <w:t xml:space="preserve"> i manjak prihoda od nefinancijske imovine u iznosu od </w:t>
      </w:r>
      <w:r w:rsidR="0098192C" w:rsidRPr="003848AE">
        <w:rPr>
          <w:rFonts w:cstheme="minorHAnsi"/>
          <w:i/>
          <w:iCs/>
          <w:color w:val="000000" w:themeColor="text1"/>
        </w:rPr>
        <w:t>28.447,43</w:t>
      </w:r>
      <w:r w:rsidRPr="003848AE">
        <w:rPr>
          <w:rFonts w:cstheme="minorHAnsi"/>
          <w:i/>
          <w:iCs/>
          <w:color w:val="000000" w:themeColor="text1"/>
        </w:rPr>
        <w:t xml:space="preserve"> </w:t>
      </w:r>
      <w:r w:rsidR="0098192C" w:rsidRPr="003848AE">
        <w:rPr>
          <w:rFonts w:cstheme="minorHAnsi"/>
          <w:i/>
          <w:iCs/>
          <w:color w:val="000000" w:themeColor="text1"/>
        </w:rPr>
        <w:t>€</w:t>
      </w:r>
      <w:r w:rsidRPr="003848AE">
        <w:rPr>
          <w:rFonts w:cstheme="minorHAnsi"/>
          <w:i/>
          <w:iCs/>
          <w:color w:val="000000" w:themeColor="text1"/>
        </w:rPr>
        <w:t xml:space="preserve">. </w:t>
      </w:r>
      <w:r w:rsidR="00385AE1" w:rsidRPr="003848AE">
        <w:rPr>
          <w:rFonts w:cstheme="minorHAnsi"/>
          <w:i/>
          <w:iCs/>
          <w:color w:val="000000" w:themeColor="text1"/>
        </w:rPr>
        <w:t>Višak prihoda je zbog uplate Hrvatskog zavoda za zapošljavanje u studenome 2022.g. za plaće pedagoga koji je nas stručnom osposobljavanju.</w:t>
      </w:r>
    </w:p>
    <w:p w:rsidR="009A2D24" w:rsidRDefault="009A2D24" w:rsidP="002C0911">
      <w:pPr>
        <w:jc w:val="both"/>
        <w:rPr>
          <w:rFonts w:eastAsia="Times New Roman" w:cstheme="minorHAnsi"/>
          <w:b/>
          <w:bCs/>
          <w:color w:val="000000"/>
        </w:rPr>
      </w:pPr>
    </w:p>
    <w:p w:rsidR="003848AE" w:rsidRDefault="003848AE" w:rsidP="002C0911">
      <w:pPr>
        <w:jc w:val="both"/>
        <w:rPr>
          <w:rFonts w:eastAsia="Times New Roman" w:cstheme="minorHAnsi"/>
          <w:b/>
          <w:bCs/>
          <w:color w:val="000000"/>
        </w:rPr>
      </w:pPr>
    </w:p>
    <w:p w:rsidR="003848AE" w:rsidRDefault="003848AE" w:rsidP="009A2D24">
      <w:pPr>
        <w:rPr>
          <w:rFonts w:eastAsia="Times New Roman" w:cstheme="minorHAnsi"/>
          <w:b/>
          <w:bCs/>
          <w:color w:val="000000"/>
        </w:rPr>
      </w:pPr>
    </w:p>
    <w:p w:rsidR="003848AE" w:rsidRDefault="003848AE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7B5A7F" w:rsidRPr="0006155F" w:rsidRDefault="007B5A7F" w:rsidP="009A2D24">
      <w:pPr>
        <w:rPr>
          <w:rFonts w:eastAsia="Times New Roman" w:cstheme="minorHAnsi"/>
          <w:b/>
          <w:bCs/>
          <w:color w:val="000000"/>
        </w:rPr>
      </w:pPr>
    </w:p>
    <w:p w:rsidR="009A2D24" w:rsidRDefault="009A2D24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72"/>
        <w:gridCol w:w="1479"/>
        <w:gridCol w:w="1478"/>
        <w:gridCol w:w="1478"/>
        <w:gridCol w:w="859"/>
        <w:gridCol w:w="519"/>
        <w:gridCol w:w="339"/>
        <w:gridCol w:w="222"/>
      </w:tblGrid>
      <w:tr w:rsidR="003848AE" w:rsidRPr="003848AE" w:rsidTr="003848AE">
        <w:trPr>
          <w:trHeight w:val="33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GODIŠNJI IZVJEŠTAJ O IZVRŠENJU FINANCIJSKOG PLANA ZA 2023. GODINU</w:t>
            </w:r>
          </w:p>
        </w:tc>
      </w:tr>
      <w:tr w:rsidR="003848AE" w:rsidRPr="003848AE" w:rsidTr="003848AE">
        <w:trPr>
          <w:trHeight w:val="16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8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OPĆI DIO</w:t>
            </w:r>
          </w:p>
        </w:tc>
      </w:tr>
      <w:tr w:rsidR="003848AE" w:rsidRPr="003848AE" w:rsidTr="003848AE">
        <w:trPr>
          <w:trHeight w:val="24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7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1.1. SAŽETAK RAČUNA PRIHODA I RASHODA I RAČUNA FINANCIRANJA</w:t>
            </w:r>
          </w:p>
        </w:tc>
      </w:tr>
      <w:tr w:rsidR="003848AE" w:rsidRPr="003848AE" w:rsidTr="003848AE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5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1.112.624,34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1.467.858,00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1.112.624,34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1.467.858,00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1.049.574,09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1.458.239,00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1.294.434,52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28.447,43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29.401,00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34.602,82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-19.782,00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-36.987,09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3848AE" w:rsidRPr="003848AE" w:rsidTr="003848AE">
        <w:trPr>
          <w:trHeight w:val="16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34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3848AE" w:rsidRPr="003848AE" w:rsidTr="003848AE">
        <w:trPr>
          <w:trHeight w:val="13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73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100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51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848AE" w:rsidRPr="003848AE" w:rsidTr="003848AE">
        <w:trPr>
          <w:trHeight w:val="42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48AE" w:rsidRPr="003848AE" w:rsidTr="003848AE">
        <w:trPr>
          <w:trHeight w:val="1065"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3848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8AE" w:rsidRPr="003848AE" w:rsidRDefault="003848AE" w:rsidP="0038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B5A7F" w:rsidRDefault="002F2927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40"/>
        <w:gridCol w:w="3240"/>
        <w:gridCol w:w="1740"/>
        <w:gridCol w:w="1720"/>
        <w:gridCol w:w="1720"/>
        <w:gridCol w:w="800"/>
        <w:gridCol w:w="795"/>
      </w:tblGrid>
      <w:tr w:rsidR="007B5A7F" w:rsidRPr="007B5A7F" w:rsidTr="007B5A7F">
        <w:trPr>
          <w:trHeight w:val="43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1.2. RAČUN PRIHODA I RASHODA</w:t>
            </w:r>
          </w:p>
        </w:tc>
      </w:tr>
      <w:tr w:rsidR="007B5A7F" w:rsidRPr="007B5A7F" w:rsidTr="007B5A7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27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1.2.1. IZVJEŠTAJ O PRIHODIMA I RASHODIMA PREMA EKONOMSKOJ KLASIFIKACIJI 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64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7B5A7F" w:rsidRPr="007B5A7F" w:rsidTr="007B5A7F">
        <w:trPr>
          <w:trHeight w:val="19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1.112.624,34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1.467.858,00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87,15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1.112.624,34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1.467.858,00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87,15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1.005.231,28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1.370.934,00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1.191.751,09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86,93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14.800,22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Tekuće pomoći od izvanproračunskih korisnika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14.800,22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990.431,06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1.191.751,09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969.141,77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1.172.014,09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21.289,29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278,41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1076,87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278,41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3.769,05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278,41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992,76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4,7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727,32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727,32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105.046,53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90.751,00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83.390,34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91,89</w:t>
            </w:r>
          </w:p>
        </w:tc>
      </w:tr>
      <w:tr w:rsidR="007B5A7F" w:rsidRPr="007B5A7F" w:rsidTr="007B5A7F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105.046,53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83.390,34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103.560,09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82.106,92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1.486,44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64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7B5A7F" w:rsidRPr="007B5A7F" w:rsidTr="007B5A7F">
        <w:trPr>
          <w:trHeight w:val="19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1.049.574,09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1.458.239,00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1.294.434,52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88,77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889.207,84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1.196.705,00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1.076.122,53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89,92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717.824,05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866.484,93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714.376,24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863.069,28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3.447,81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3.415,65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50.451,52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65.140,95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50.451,52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65.140,95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120.932,27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144.496,65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120.798,14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144.136,65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125.230,31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217.888,00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176.399,75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80,96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22.230,30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23.921,42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3.774,49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3.055,46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17.885,10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20.376,16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425,80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69.032,85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106.385,29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12.472,17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10.799,15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40.668,48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79.774,28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12.116,99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14.186,96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21.949,78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22.817,03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3.030,28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3.095,71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9.864,96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6.771,50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5.668,51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7.370,77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1.809,95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3.341,60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1.588,19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957,32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12.017,38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23.276,01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4.792,12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4.045,55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11.090,33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259,51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7.977,04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3.357,65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7.243,28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83,29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3.357,65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7.243,28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7.076,94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31.778,29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99,2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31.778,29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3722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31.778,29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99,15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28.447,43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29.401,00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73,93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28.447,43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29.401,00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73,93</w:t>
            </w:r>
          </w:p>
        </w:tc>
      </w:tr>
      <w:tr w:rsidR="007B5A7F" w:rsidRPr="007B5A7F" w:rsidTr="007B5A7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6.973,68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1.799,86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6.973,68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1.799,86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21.473,75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19.936,87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21.473,75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19.936,87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9A2D24" w:rsidRDefault="009A2D24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72"/>
        <w:gridCol w:w="2556"/>
        <w:gridCol w:w="1856"/>
        <w:gridCol w:w="1837"/>
        <w:gridCol w:w="1856"/>
        <w:gridCol w:w="799"/>
        <w:gridCol w:w="723"/>
        <w:gridCol w:w="222"/>
      </w:tblGrid>
      <w:tr w:rsidR="007B5A7F" w:rsidRPr="007B5A7F" w:rsidTr="007B5A7F">
        <w:trPr>
          <w:trHeight w:val="300"/>
        </w:trPr>
        <w:tc>
          <w:tcPr>
            <w:tcW w:w="10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1.2.2. IZVJEŠTAJ O PRIHODIMA I RASHODIMA PREMA IZVORIMA FINANCIRANJA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B5A7F" w:rsidRPr="007B5A7F" w:rsidTr="007B5A7F">
        <w:trPr>
          <w:trHeight w:val="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300"/>
        </w:trPr>
        <w:tc>
          <w:tcPr>
            <w:tcW w:w="10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555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225"/>
        </w:trPr>
        <w:tc>
          <w:tcPr>
            <w:tcW w:w="3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1.112.624,34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1.467.858,00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1.279.184,16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114,97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87,15</w:t>
            </w: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34.201,85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10.654,00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9.709,26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28,39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34.201,85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10.654,00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9.709,26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54.660,51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54.660,51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2.346,53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6.173,00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4.042,73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172,29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2.346,53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6.173,00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4.042,73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58.176,18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58.176,18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14.800,22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14.800,22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965.540,01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1.339.139,00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1.173.228,04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121,51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87,61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16.184,17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16.772,00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15.504,90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949.355,84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1.322.367,00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1.157.723,14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41.075,22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34.027,95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41.075,22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34.027,95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315"/>
        </w:trPr>
        <w:tc>
          <w:tcPr>
            <w:tcW w:w="10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555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240"/>
        </w:trPr>
        <w:tc>
          <w:tcPr>
            <w:tcW w:w="3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122,09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34.423,63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10.654,00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10.554,47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30,66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34.423,63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10.654,00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10.554,47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55.773,83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55.773,83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8.438,31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25.955,00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18.801,09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72,44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8.438,31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25.955,00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18.801,09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52.558,58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52.558,58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OSTALO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2.539,97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2.539,97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941.144,85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1.339.139,00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1.198.418,24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127,34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14.873,53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16.772,00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16.170,93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96,42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926.271,32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1.322.367,00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1.182.247,31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35.700,93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35.838,87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73,79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7B5A7F" w:rsidRPr="007B5A7F" w:rsidTr="007B5A7F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35.700,93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35.838,87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73,79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740"/>
        <w:gridCol w:w="1680"/>
        <w:gridCol w:w="1660"/>
        <w:gridCol w:w="1660"/>
        <w:gridCol w:w="723"/>
        <w:gridCol w:w="723"/>
      </w:tblGrid>
      <w:tr w:rsidR="007B5A7F" w:rsidRPr="007B5A7F" w:rsidTr="007B5A7F">
        <w:trPr>
          <w:trHeight w:val="30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1.2.3. IZVJEŠTAJ O RASHODIMA PREMA FUNKCIJSKOJ KLASIFIKACIJI</w:t>
            </w:r>
          </w:p>
        </w:tc>
      </w:tr>
      <w:tr w:rsidR="007B5A7F" w:rsidRPr="007B5A7F" w:rsidTr="007B5A7F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57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4 / 3</w:t>
            </w:r>
          </w:p>
        </w:tc>
      </w:tr>
      <w:tr w:rsidR="007B5A7F" w:rsidRPr="007B5A7F" w:rsidTr="007B5A7F">
        <w:trPr>
          <w:trHeight w:val="22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7B5A7F" w:rsidRPr="007B5A7F" w:rsidTr="007B5A7F">
        <w:trPr>
          <w:trHeight w:val="36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</w:tr>
      <w:tr w:rsidR="007B5A7F" w:rsidRPr="007B5A7F" w:rsidTr="007B5A7F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</w:tr>
      <w:tr w:rsidR="007B5A7F" w:rsidRPr="007B5A7F" w:rsidTr="007B5A7F">
        <w:trPr>
          <w:trHeight w:val="36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1.078.021,52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1.485.072,00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1.313.605,30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121,85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88,45</w:t>
            </w:r>
          </w:p>
        </w:tc>
      </w:tr>
      <w:tr w:rsidR="007B5A7F" w:rsidRPr="007B5A7F" w:rsidTr="007B5A7F">
        <w:trPr>
          <w:trHeight w:val="36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2.565,95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99,92</w:t>
            </w:r>
          </w:p>
        </w:tc>
      </w:tr>
    </w:tbl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60"/>
        <w:gridCol w:w="3180"/>
        <w:gridCol w:w="1680"/>
        <w:gridCol w:w="1660"/>
        <w:gridCol w:w="1660"/>
        <w:gridCol w:w="723"/>
        <w:gridCol w:w="723"/>
      </w:tblGrid>
      <w:tr w:rsidR="007B5A7F" w:rsidRPr="007B5A7F" w:rsidTr="007B5A7F">
        <w:trPr>
          <w:trHeight w:val="33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1.3. RAČUN FINANCIRANJA</w:t>
            </w:r>
          </w:p>
        </w:tc>
      </w:tr>
      <w:tr w:rsidR="007B5A7F" w:rsidRPr="007B5A7F" w:rsidTr="007B5A7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31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1.3.1. IZVJEŠTAJ RAČUNA FINANCIRANJA PREMA EKONOMSKOJ KLASIFIKACIJI</w:t>
            </w:r>
          </w:p>
        </w:tc>
      </w:tr>
      <w:tr w:rsidR="007B5A7F" w:rsidRPr="007B5A7F" w:rsidTr="007B5A7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B5A7F" w:rsidRPr="007B5A7F" w:rsidTr="007B5A7F">
        <w:trPr>
          <w:trHeight w:val="555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7B5A7F" w:rsidRPr="007B5A7F" w:rsidTr="007B5A7F">
        <w:trPr>
          <w:trHeight w:val="240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7B5A7F" w:rsidRPr="007B5A7F" w:rsidTr="007B5A7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B5A7F" w:rsidRPr="007B5A7F" w:rsidTr="007B5A7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A7F" w:rsidRPr="007B5A7F" w:rsidRDefault="007B5A7F" w:rsidP="007B5A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108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"/>
        <w:gridCol w:w="481"/>
        <w:gridCol w:w="79"/>
        <w:gridCol w:w="2628"/>
        <w:gridCol w:w="552"/>
        <w:gridCol w:w="1413"/>
        <w:gridCol w:w="267"/>
        <w:gridCol w:w="1660"/>
        <w:gridCol w:w="22"/>
        <w:gridCol w:w="1638"/>
        <w:gridCol w:w="327"/>
        <w:gridCol w:w="253"/>
        <w:gridCol w:w="580"/>
        <w:gridCol w:w="9"/>
        <w:gridCol w:w="685"/>
        <w:gridCol w:w="236"/>
      </w:tblGrid>
      <w:tr w:rsidR="007B5A7F" w:rsidTr="00116044">
        <w:trPr>
          <w:trHeight w:val="290"/>
        </w:trPr>
        <w:tc>
          <w:tcPr>
            <w:tcW w:w="7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1.3.2. IZVJEŠTAJ RAČUNA FINANCIRANJA PREMA IZVORIMA FINANCIRANJA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29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29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216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535"/>
        </w:trPr>
        <w:tc>
          <w:tcPr>
            <w:tcW w:w="3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 31.12.2022.</w:t>
            </w: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2023. godinu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 31.12.2023.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Indeks </w:t>
            </w:r>
          </w:p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/ 2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DCDCDC" w:fill="FFFFFF"/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 / 3</w:t>
            </w:r>
          </w:p>
        </w:tc>
      </w:tr>
      <w:tr w:rsidR="007B5A7F" w:rsidTr="00116044">
        <w:trPr>
          <w:trHeight w:val="216"/>
        </w:trPr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7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348"/>
        </w:trPr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A7F" w:rsidTr="00116044">
        <w:trPr>
          <w:trHeight w:val="348"/>
        </w:trPr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B5A7F" w:rsidTr="00116044">
        <w:trPr>
          <w:trHeight w:val="348"/>
        </w:trPr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5A7F" w:rsidRDefault="007B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00"/>
        </w:trPr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PRENESENI VIŠAK ILI PRENESENI MANJAK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240"/>
        </w:trPr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570"/>
        </w:trPr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225"/>
        </w:trPr>
        <w:tc>
          <w:tcPr>
            <w:tcW w:w="37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6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6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6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6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9221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6044" w:rsidRPr="00116044" w:rsidTr="00116044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0" w:type="dxa"/>
          <w:wAfter w:w="930" w:type="dxa"/>
          <w:trHeight w:val="360"/>
        </w:trPr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19.782,00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44" w:rsidRPr="00116044" w:rsidRDefault="00116044" w:rsidP="00116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6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</w:tbl>
    <w:p w:rsidR="007B5A7F" w:rsidRDefault="007B5A7F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116044" w:rsidRDefault="00116044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222"/>
        <w:gridCol w:w="2080"/>
        <w:gridCol w:w="3700"/>
        <w:gridCol w:w="1660"/>
        <w:gridCol w:w="1680"/>
        <w:gridCol w:w="780"/>
        <w:gridCol w:w="222"/>
      </w:tblGrid>
      <w:tr w:rsidR="002F2927" w:rsidRPr="002F2927" w:rsidTr="002F2927">
        <w:trPr>
          <w:trHeight w:val="84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POSEBNI DIO</w:t>
            </w:r>
            <w:r w:rsidRPr="002F292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2F292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</w:tr>
      <w:tr w:rsidR="002F2927" w:rsidRPr="002F2927" w:rsidTr="002F2927">
        <w:trPr>
          <w:trHeight w:val="40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927" w:rsidRPr="002F2927" w:rsidTr="002F2927">
        <w:trPr>
          <w:trHeight w:val="555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31.12.2023.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  3 / 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15"/>
        </w:trPr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01102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USTANOVE U ŠKOLSTVU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1.487.640,00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1.316.171,25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10.554,47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99,07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18.801,09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52.558,58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16.772,00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16.170,93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96,42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1.322.367,00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1.182.247,31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35.838,87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1207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ODGOJNO-OBRAZOVNOG SUSTAVA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27.426,00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26.725,40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A1207 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ORGANIZACIJA I IZVOĐENJE NATJECANJA I SMOTRI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2.565,95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2.565,95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2.565,95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2.428,00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2.426,14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1.388,19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1.388,19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PROGRAMI I PROJEKTI U ODGOJU I OBRAZOVANJU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K1207 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OBAVEZNE ŠKOLSKE LEKTIRE U OSNOVNIM I SREDNJIM ŠKOLAMA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 PROJEKTI - UČIMO ZAJEDNO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12.315,13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96,38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934,92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93,49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934,92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934,92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934,92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934,92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11.778,00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11.380,21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11.380,21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11.380,21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97,52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8.840,73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8.840,73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1.039,48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1.039,48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SHEMA - VOĆE, POVRĆE I MLIJEKO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4.994,00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4.994,00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T1207 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PRODUŽENI BORAVAK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6.603,60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6.603,60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99,51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6.603,60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6.481,92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1.095,92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1.095,92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OSNOVNOG ŠKOLSTVA PREMA MINIMALNOM STANDARDU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63.325,00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52.558,58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60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K7006 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 I OPREMANJE OBJEKATA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1.083,42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A7006 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OPĆIH TROŠKOVA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25.581,39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26.680,00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25.581,39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95,88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26.680,00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25.581,39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26.470,00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25.415,05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2.669,09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2.179,29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425,80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12.107,72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10.482,82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1.007,02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10.038,36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79,21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A7006 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STVARNIH TROŠKOVA OSNOVNOG ŠKOLSTVA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25.893,77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35.318,00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25.893,77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73,32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25.893,77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35.318,00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25.893,77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14.503,29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14.186,96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11.390,48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6.771,50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1.470,72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3.148,26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7011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1.396.889,00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1.236.887,27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A7011 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 - OSNOVNO ŠKOLSTVO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1.396.889,00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1.236.887,27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18.801,09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72,44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18.084,65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12.788,02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89,43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12.788,02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12.788,02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5.296,63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1.687,22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876,17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1.234,80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1.234,80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1.322.367,00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1.182.247,31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1.298.475,00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1.162.510,44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89,53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1.150.029,00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1.043.220,74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90,71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837.738,35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834.322,70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3.415,65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63.140,95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63.140,95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142.341,44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141.981,44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139.260,00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111.270,84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18.508,51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18.508,51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71.994,73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71.994,73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20.767,60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4.045,55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11.090,33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5.631,72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7.076,94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7.076,94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7.076,94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941,92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19.736,87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82,61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19.736,87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82,61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19.736,87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19.736,87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35.838,87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48.567,00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35.838,87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2.111,83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1.611,83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1.611,83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2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F2927" w:rsidRPr="002F2927" w:rsidTr="002F2927">
        <w:trPr>
          <w:trHeight w:val="405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F2927" w:rsidRPr="002F2927" w:rsidTr="002F2927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33.727,04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29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927" w:rsidRPr="002F2927" w:rsidRDefault="002F2927" w:rsidP="002F29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3848AE" w:rsidRDefault="003848AE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2F2927" w:rsidRDefault="002F2927" w:rsidP="009A2D24"/>
    <w:p w:rsidR="002F2927" w:rsidRDefault="002F2927" w:rsidP="009A2D24"/>
    <w:p w:rsidR="002F2927" w:rsidRDefault="002F2927" w:rsidP="009A2D24"/>
    <w:p w:rsidR="002F2927" w:rsidRDefault="002F2927" w:rsidP="009A2D24"/>
    <w:p w:rsidR="002F2927" w:rsidRDefault="002F2927" w:rsidP="009A2D24"/>
    <w:p w:rsidR="002F2927" w:rsidRDefault="002F2927" w:rsidP="009A2D24"/>
    <w:p w:rsidR="002F2927" w:rsidRDefault="002F2927" w:rsidP="009A2D24"/>
    <w:p w:rsidR="002F2927" w:rsidRDefault="002F2927" w:rsidP="00A122E3"/>
    <w:p w:rsidR="00385AE1" w:rsidRDefault="00385AE1" w:rsidP="009A2D24"/>
    <w:p w:rsidR="002F2927" w:rsidRDefault="002F2927" w:rsidP="002F2927">
      <w:pPr>
        <w:spacing w:line="240" w:lineRule="auto"/>
        <w:jc w:val="both"/>
        <w:rPr>
          <w:rStyle w:val="Neupadljivoisticanje"/>
          <w:rFonts w:cstheme="minorHAnsi"/>
          <w:b/>
          <w:i w:val="0"/>
        </w:rPr>
      </w:pPr>
      <w:r>
        <w:rPr>
          <w:rStyle w:val="Neupadljivoisticanje"/>
          <w:rFonts w:cstheme="minorHAnsi"/>
          <w:b/>
        </w:rPr>
        <w:t>3. OBRAZLOŽENJE</w:t>
      </w:r>
    </w:p>
    <w:p w:rsidR="002F2927" w:rsidRDefault="002F2927" w:rsidP="002F292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26DB9">
        <w:rPr>
          <w:rStyle w:val="Neupadljivoisticanje"/>
          <w:rFonts w:cstheme="minorHAnsi"/>
          <w:b/>
        </w:rPr>
        <w:t>3.1.</w:t>
      </w:r>
      <w:r>
        <w:rPr>
          <w:rStyle w:val="Neupadljivoisticanje"/>
          <w:rFonts w:cstheme="minorHAnsi"/>
        </w:rPr>
        <w:t xml:space="preserve"> </w:t>
      </w:r>
      <w:r w:rsidRPr="00315268">
        <w:rPr>
          <w:rFonts w:ascii="Calibri" w:eastAsia="Times New Roman" w:hAnsi="Calibri" w:cs="Calibri"/>
          <w:b/>
          <w:bCs/>
          <w:color w:val="000000"/>
        </w:rPr>
        <w:t xml:space="preserve">OBRAZLOŽENJE </w:t>
      </w:r>
      <w:r>
        <w:rPr>
          <w:rFonts w:ascii="Calibri" w:eastAsia="Times New Roman" w:hAnsi="Calibri" w:cs="Calibri"/>
          <w:b/>
          <w:bCs/>
          <w:color w:val="000000"/>
        </w:rPr>
        <w:t>OPĆEG</w:t>
      </w:r>
      <w:r w:rsidRPr="00315268">
        <w:rPr>
          <w:rFonts w:ascii="Calibri" w:eastAsia="Times New Roman" w:hAnsi="Calibri" w:cs="Calibri"/>
          <w:b/>
          <w:bCs/>
          <w:color w:val="000000"/>
        </w:rPr>
        <w:t xml:space="preserve"> DIJELA </w:t>
      </w:r>
      <w:r>
        <w:rPr>
          <w:rFonts w:ascii="Calibri" w:eastAsia="Times New Roman" w:hAnsi="Calibri" w:cs="Calibri"/>
          <w:b/>
          <w:bCs/>
          <w:color w:val="000000"/>
        </w:rPr>
        <w:t>GODIŠNJEG IZVJEŠTAJA O IZVRŠENJU FINANCIJSKOG PLANA ZA 2023.</w:t>
      </w:r>
    </w:p>
    <w:p w:rsidR="002F2927" w:rsidRPr="0002739F" w:rsidRDefault="002F2927" w:rsidP="002F2927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38"/>
        <w:gridCol w:w="7204"/>
      </w:tblGrid>
      <w:tr w:rsidR="002F2927" w:rsidRPr="00DD7E41" w:rsidTr="002F2927">
        <w:trPr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t>NAZIV: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2023.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2927" w:rsidRPr="00DD7E41" w:rsidRDefault="002F2927" w:rsidP="002F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u w:val="single"/>
              </w:rPr>
            </w:pPr>
            <w:r w:rsidRPr="004C08D5">
              <w:rPr>
                <w:rFonts w:eastAsia="Times New Roman" w:cstheme="minorHAnsi"/>
                <w:b/>
                <w:u w:val="single"/>
              </w:rPr>
              <w:t>Izvještaj o prihodima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18"/>
              <w:gridCol w:w="1386"/>
              <w:gridCol w:w="1386"/>
              <w:gridCol w:w="1658"/>
            </w:tblGrid>
            <w:tr w:rsidR="002F2927" w:rsidRPr="004C08D5" w:rsidTr="002F292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za 2023. godinu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31.12.2023.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1.467.858,00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1.279.184,16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8</w:t>
                  </w:r>
                  <w:r>
                    <w:rPr>
                      <w:rFonts w:eastAsia="Times New Roman" w:cstheme="minorHAnsi"/>
                      <w:bCs/>
                    </w:rPr>
                    <w:t>7,15</w:t>
                  </w:r>
                  <w:r w:rsidRPr="004C08D5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poslovanja za 2023. godinu ostvareni su u iznosu od </w:t>
            </w:r>
            <w:r>
              <w:rPr>
                <w:rFonts w:eastAsia="Times New Roman" w:cstheme="minorHAnsi"/>
                <w:bCs/>
              </w:rPr>
              <w:t>1.279.184,16 €</w:t>
            </w:r>
            <w:r w:rsidRPr="004C08D5">
              <w:rPr>
                <w:rFonts w:eastAsia="Times New Roman" w:cstheme="minorHAnsi"/>
                <w:bCs/>
              </w:rPr>
              <w:t xml:space="preserve"> ili 8</w:t>
            </w:r>
            <w:r>
              <w:rPr>
                <w:rFonts w:eastAsia="Times New Roman" w:cstheme="minorHAnsi"/>
                <w:bCs/>
              </w:rPr>
              <w:t>7,15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Prihodi i od subjekata un</w:t>
            </w:r>
            <w:r w:rsidR="00234884">
              <w:rPr>
                <w:rFonts w:eastAsia="Times New Roman" w:cstheme="minorHAnsi"/>
                <w:bCs/>
              </w:rPr>
              <w:t>u</w:t>
            </w:r>
            <w:r w:rsidRPr="004C08D5">
              <w:rPr>
                <w:rFonts w:eastAsia="Times New Roman" w:cstheme="minorHAnsi"/>
                <w:bCs/>
              </w:rPr>
              <w:t xml:space="preserve">tar općeg proračuna (63) je najznačajnija kategorija prihoda poslovanja koji iznose </w:t>
            </w:r>
            <w:r w:rsidR="00234884">
              <w:rPr>
                <w:rFonts w:eastAsia="Times New Roman" w:cstheme="minorHAnsi"/>
                <w:bCs/>
              </w:rPr>
              <w:t>1.191.751,09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9</w:t>
            </w:r>
            <w:r w:rsidR="00234884">
              <w:rPr>
                <w:rFonts w:eastAsia="Times New Roman" w:cstheme="minorHAnsi"/>
                <w:bCs/>
              </w:rPr>
              <w:t>3,00</w:t>
            </w:r>
            <w:r w:rsidRPr="004C08D5">
              <w:rPr>
                <w:rFonts w:eastAsia="Times New Roman" w:cstheme="minorHAnsi"/>
                <w:bCs/>
              </w:rPr>
              <w:t xml:space="preserve">% godišnjeg plana. Ostvareno je zbog plaće, materijalna prava i kapitalnih pomoći proračunskim korisnicima iz proračuna koji im nije nadležan (6362), a to su u pitanju knjige za lektiru i udžbenici.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prodaje proizvoda i robe te pruženih usluga i prihoda od donacija (66) ostvareno je ukupno </w:t>
            </w:r>
            <w:r w:rsidR="00234884">
              <w:rPr>
                <w:rFonts w:eastAsia="Times New Roman" w:cstheme="minorHAnsi"/>
                <w:bCs/>
              </w:rPr>
              <w:t>273,68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koje su ostvarene od najma dvorane</w:t>
            </w:r>
            <w:r w:rsidR="00234884">
              <w:rPr>
                <w:rFonts w:eastAsia="Times New Roman" w:cstheme="minorHAnsi"/>
                <w:bCs/>
              </w:rPr>
              <w:t xml:space="preserve"> i prikupljanje starog papira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nadležnog proračuna i od HZZO-a temeljem ugovornih obveza ostvarena su u iznosu od </w:t>
            </w:r>
            <w:r w:rsidR="00234884">
              <w:rPr>
                <w:rFonts w:eastAsia="Times New Roman" w:cstheme="minorHAnsi"/>
                <w:bCs/>
              </w:rPr>
              <w:t>93.390,34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234884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zbog odluke Osječko-baranjske županije o dodjeli sredstava za funkcioniranje Škole.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DD7E41" w:rsidRDefault="002F2927" w:rsidP="002F2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F2927" w:rsidRPr="00D472E5" w:rsidRDefault="002F2927" w:rsidP="002F2927">
      <w:pPr>
        <w:spacing w:line="240" w:lineRule="auto"/>
        <w:jc w:val="both"/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F2927" w:rsidRPr="004C08D5" w:rsidTr="002F292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lastRenderedPageBreak/>
              <w:t>NAZIV: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2023.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2023.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IZMJENE I DOPUNE FINANCIJSKOG  PLANA ZA 2023. GODINU: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116044" w:rsidRDefault="00116044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2F2927" w:rsidRPr="004C08D5" w:rsidRDefault="00116044" w:rsidP="002F2927">
            <w:pPr>
              <w:keepNext/>
              <w:spacing w:after="0" w:line="240" w:lineRule="auto"/>
              <w:jc w:val="both"/>
              <w:outlineLvl w:val="0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N</w:t>
            </w:r>
            <w:r w:rsidR="002F2927" w:rsidRPr="004C08D5">
              <w:rPr>
                <w:rFonts w:eastAsia="Times New Roman" w:cstheme="minorHAnsi"/>
                <w:iCs/>
              </w:rPr>
              <w:t>AZIV: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višak prihoda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i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6"/>
              <w:gridCol w:w="1986"/>
              <w:gridCol w:w="1288"/>
              <w:gridCol w:w="1276"/>
              <w:gridCol w:w="1658"/>
            </w:tblGrid>
            <w:tr w:rsidR="002F2927" w:rsidRPr="004C08D5" w:rsidTr="002F2927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R.b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2023.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113B38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113B38">
                    <w:rPr>
                      <w:rFonts w:eastAsia="Times New Roman" w:cstheme="minorHAnsi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234884" w:rsidRDefault="00234884" w:rsidP="002F2927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234884">
                    <w:rPr>
                      <w:rFonts w:eastAsia="Times New Roman" w:cstheme="minorHAnsi"/>
                      <w:sz w:val="16"/>
                      <w:szCs w:val="16"/>
                    </w:rPr>
                    <w:t>Stručno osposobljavanje pedagoga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19.782,00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19.782,00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100,00</w:t>
                  </w:r>
                  <w:r w:rsidR="002F2927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Ukupno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19.782,00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19.782,00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4C08D5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100,00</w:t>
                  </w:r>
                  <w:r w:rsidR="002F2927">
                    <w:rPr>
                      <w:rFonts w:eastAsia="Times New Roman" w:cstheme="minorHAnsi"/>
                      <w:b/>
                      <w:bCs/>
                    </w:rPr>
                    <w:t>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Višak prihoda je ostvaren u iznosu  </w:t>
            </w:r>
            <w:r w:rsidR="00234884">
              <w:rPr>
                <w:rFonts w:eastAsia="Times New Roman" w:cstheme="minorHAnsi"/>
                <w:bCs/>
              </w:rPr>
              <w:t>19.782,00.€ zbog stručnog zapošljavanja pedagoga koji je počeo s radom u listopadu 2022.g. i sredstva su uplaćena u 2022.g. za isplatu plaća od studenoga 2022. do listopada 2023.g.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prihodima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57"/>
              <w:gridCol w:w="1280"/>
              <w:gridCol w:w="1285"/>
              <w:gridCol w:w="1658"/>
            </w:tblGrid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za 2023.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234884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1.467.858,00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33474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1.279.184,16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334747" w:rsidP="0033474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87,15</w:t>
                  </w:r>
                  <w:r w:rsidR="002F2927"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334747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334747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0,00%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poslovanja za 2023. godinu ostvareni su u iznosu od </w:t>
            </w:r>
            <w:r w:rsidR="00334747">
              <w:rPr>
                <w:rFonts w:eastAsia="Times New Roman" w:cstheme="minorHAnsi"/>
                <w:bCs/>
              </w:rPr>
              <w:t>1.279.184,16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34747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8</w:t>
            </w:r>
            <w:r w:rsidR="00334747">
              <w:rPr>
                <w:rFonts w:eastAsia="Times New Roman" w:cstheme="minorHAnsi"/>
                <w:bCs/>
              </w:rPr>
              <w:t>7,15 %</w:t>
            </w:r>
            <w:r w:rsidRPr="004C08D5">
              <w:rPr>
                <w:rFonts w:eastAsia="Times New Roman" w:cstheme="minorHAnsi"/>
                <w:bCs/>
              </w:rPr>
              <w:t xml:space="preserve"> godišnjeg plana.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Prihodi  od subjekata unutar općeg proračuna (63) su najznačajnija kategorija prihoda poslovanja u kojem je ostvar</w:t>
            </w:r>
            <w:r w:rsidR="00334747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no </w:t>
            </w:r>
            <w:r w:rsidR="00334747">
              <w:rPr>
                <w:rFonts w:eastAsia="Times New Roman" w:cstheme="minorHAnsi"/>
                <w:bCs/>
              </w:rPr>
              <w:t>1.191.751,09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34747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9</w:t>
            </w:r>
            <w:r w:rsidR="00334747">
              <w:rPr>
                <w:rFonts w:eastAsia="Times New Roman" w:cstheme="minorHAnsi"/>
                <w:bCs/>
              </w:rPr>
              <w:t>3,00</w:t>
            </w:r>
            <w:r w:rsidRPr="004C08D5">
              <w:rPr>
                <w:rFonts w:eastAsia="Times New Roman" w:cstheme="minorHAnsi"/>
                <w:bCs/>
              </w:rPr>
              <w:t xml:space="preserve">% godišnjeg plana. Prihodi od pomoći proračunskim korisnicima iz proračuna koji im nije nadležan (636) ostvareni su u iznosu od </w:t>
            </w:r>
            <w:r w:rsidR="00334747">
              <w:rPr>
                <w:rFonts w:eastAsia="Times New Roman" w:cstheme="minorHAnsi"/>
                <w:bCs/>
              </w:rPr>
              <w:t>1.191.751,09 €</w:t>
            </w:r>
            <w:r w:rsidRPr="004C08D5">
              <w:rPr>
                <w:rFonts w:eastAsia="Times New Roman" w:cstheme="minorHAnsi"/>
                <w:bCs/>
              </w:rPr>
              <w:t xml:space="preserve"> i veći su od ostvarenja iz 2022. godine, a razlog tome je povećanje osnovice za obračun plaća i veća materijalna prava zaposlenika.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imovine (64) nisu ostvareni u 2023. godini. Prihodi od upravnih i administrativnih pristojbi, pristojbi po posebnim propisima i naknadama (65) gdje su ostali nespomenuti prihodi (6526) ostvareni u iznosu od </w:t>
            </w:r>
            <w:r w:rsidR="00334747">
              <w:rPr>
                <w:rFonts w:eastAsia="Times New Roman" w:cstheme="minorHAnsi"/>
                <w:bCs/>
              </w:rPr>
              <w:t>3.769,05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34747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 </w:t>
            </w:r>
            <w:r w:rsidR="00334747">
              <w:rPr>
                <w:rFonts w:eastAsia="Times New Roman" w:cstheme="minorHAnsi"/>
                <w:bCs/>
              </w:rPr>
              <w:t xml:space="preserve">veći su </w:t>
            </w:r>
            <w:r w:rsidRPr="004C08D5">
              <w:rPr>
                <w:rFonts w:eastAsia="Times New Roman" w:cstheme="minorHAnsi"/>
                <w:bCs/>
              </w:rPr>
              <w:t xml:space="preserve"> od godišnjeg plana. Prihodi su ostvar</w:t>
            </w:r>
            <w:r w:rsidR="00113B3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većinom kroz uplate </w:t>
            </w:r>
            <w:r w:rsidR="00113B38">
              <w:rPr>
                <w:rFonts w:eastAsia="Times New Roman" w:cstheme="minorHAnsi"/>
                <w:bCs/>
              </w:rPr>
              <w:t>r</w:t>
            </w:r>
            <w:r w:rsidR="006A6F15">
              <w:rPr>
                <w:rFonts w:eastAsia="Times New Roman" w:cstheme="minorHAnsi"/>
                <w:bCs/>
              </w:rPr>
              <w:t>o</w:t>
            </w:r>
            <w:r w:rsidR="00113B38">
              <w:rPr>
                <w:rFonts w:eastAsia="Times New Roman" w:cstheme="minorHAnsi"/>
                <w:bCs/>
              </w:rPr>
              <w:t xml:space="preserve">ditelja za prehranu učenika u produženom boravku koji je počeo s radom u rujnu 2023.g., te za </w:t>
            </w:r>
            <w:r>
              <w:rPr>
                <w:rFonts w:eastAsia="Times New Roman" w:cstheme="minorHAnsi"/>
                <w:bCs/>
              </w:rPr>
              <w:t xml:space="preserve"> iznajmljivanje dvorane</w:t>
            </w:r>
            <w:r w:rsidR="00113B38">
              <w:rPr>
                <w:rFonts w:eastAsia="Times New Roman" w:cstheme="minorHAnsi"/>
                <w:bCs/>
              </w:rPr>
              <w:t>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prodaje proizvoda i robe te pruženih usluga i prihodi od donacija (66) su ostvareni u iznosu od </w:t>
            </w:r>
            <w:r w:rsidR="00113B38">
              <w:rPr>
                <w:rFonts w:eastAsia="Times New Roman" w:cstheme="minorHAnsi"/>
                <w:bCs/>
              </w:rPr>
              <w:t>273,68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113B3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>. Prihodi su ostvar</w:t>
            </w:r>
            <w:r w:rsidR="00113B38">
              <w:rPr>
                <w:rFonts w:eastAsia="Times New Roman" w:cstheme="minorHAnsi"/>
                <w:bCs/>
              </w:rPr>
              <w:t>eni od prikupljanja starog papira.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nadležnog proračuna i od HZZO-a temeljem ugovornih obveza (67) ostvareni su u iznosu od </w:t>
            </w:r>
            <w:r w:rsidR="00113B38">
              <w:rPr>
                <w:rFonts w:eastAsia="Times New Roman" w:cstheme="minorHAnsi"/>
                <w:bCs/>
              </w:rPr>
              <w:t>83.390,34 €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rashodima prema ekonomskoj klasifikaciji</w:t>
            </w: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57"/>
              <w:gridCol w:w="1280"/>
              <w:gridCol w:w="1285"/>
              <w:gridCol w:w="1658"/>
            </w:tblGrid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927" w:rsidRPr="004C08D5" w:rsidRDefault="002F2927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za 2023.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</w:p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 (Izvršenje/Plan)</w:t>
                  </w:r>
                </w:p>
              </w:tc>
            </w:tr>
            <w:tr w:rsidR="002F2927" w:rsidRPr="004C08D5" w:rsidTr="002F2927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1.458.239,00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1.294.434,52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2F2927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88,</w:t>
                  </w:r>
                  <w:r w:rsid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77</w:t>
                  </w:r>
                  <w:r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2F2927" w:rsidRPr="004C08D5" w:rsidTr="002F292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927" w:rsidRPr="004C08D5" w:rsidRDefault="002F2927" w:rsidP="002F2927">
                  <w:pPr>
                    <w:spacing w:after="0" w:line="240" w:lineRule="auto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Rashodi za nabavu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29.401,00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21.736,73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2927" w:rsidRPr="00DF2835" w:rsidRDefault="00DF2835" w:rsidP="002F292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73,93</w:t>
                  </w:r>
                  <w:r w:rsidR="002F2927" w:rsidRPr="00DF2835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Na ostvarenje rashoda u 2023. godini najveći utjecaj imali su rashodi za zaposlene i materijalni rashodi u odnosu na prethodnu godinu. Rashodi za zaposlene ostvareni su u iznosu od </w:t>
            </w:r>
            <w:r w:rsidR="00DF2835">
              <w:rPr>
                <w:rFonts w:eastAsia="Times New Roman" w:cstheme="minorHAnsi"/>
                <w:bCs/>
              </w:rPr>
              <w:t>1.076.122,53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gdje značajno povećanje u odnosu na prošlo godinu bilježe plaće za prekovremeni rad, plaće za posebne uvjete rada, ostali rashodi za zaposlene i doprinosi za obvezno zdravstveno osiguranje. Razlog tome je povećanje osnovice u 2023. godini temeljem sporazuma Vlade RH i sindikata, te povećanje materijalnih prava zaposlenika u javnom i državnom sektoru.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Materijalni rashodi ostvareni su u iznosu od </w:t>
            </w:r>
            <w:r w:rsidR="00DF2835">
              <w:rPr>
                <w:rFonts w:eastAsia="Times New Roman" w:cstheme="minorHAnsi"/>
                <w:bCs/>
              </w:rPr>
              <w:t>176.399,75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. Najveći rashodi su </w:t>
            </w:r>
            <w:r w:rsidR="00DF2835">
              <w:rPr>
                <w:rFonts w:eastAsia="Times New Roman" w:cstheme="minorHAnsi"/>
                <w:bCs/>
              </w:rPr>
              <w:t>nastali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DF2835">
              <w:rPr>
                <w:rFonts w:eastAsia="Times New Roman" w:cstheme="minorHAnsi"/>
                <w:bCs/>
              </w:rPr>
              <w:t>za</w:t>
            </w:r>
            <w:r w:rsidRPr="004C08D5">
              <w:rPr>
                <w:rFonts w:eastAsia="Times New Roman" w:cstheme="minorHAnsi"/>
                <w:bCs/>
              </w:rPr>
              <w:t xml:space="preserve"> naknada za prijevoz, za rad na terenu i odvojeni život, odnosno za troškove prijevoza zaposlenika na posao i s posla. Također, najveći iznos odlazio je i na rashode za materijal i energiju koji su služili za funkcioniranje Škole.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Naknade građanima i kućanstvima na temelju osiguranja i druge naknade (37) ostvaren</w:t>
            </w:r>
            <w:r w:rsidR="00DF2835">
              <w:rPr>
                <w:rFonts w:eastAsia="Times New Roman" w:cstheme="minorHAnsi"/>
                <w:bCs/>
              </w:rPr>
              <w:t>o</w:t>
            </w:r>
            <w:r w:rsidRPr="004C08D5">
              <w:rPr>
                <w:rFonts w:eastAsia="Times New Roman" w:cstheme="minorHAnsi"/>
                <w:bCs/>
              </w:rPr>
              <w:t xml:space="preserve"> je </w:t>
            </w:r>
            <w:r w:rsidR="00DF2835">
              <w:rPr>
                <w:rFonts w:eastAsia="Times New Roman" w:cstheme="minorHAnsi"/>
                <w:bCs/>
              </w:rPr>
              <w:t>33.727,04</w:t>
            </w:r>
            <w:r w:rsidRPr="004C08D5">
              <w:rPr>
                <w:rFonts w:eastAsia="Times New Roman" w:cstheme="minorHAnsi"/>
                <w:bCs/>
              </w:rPr>
              <w:t xml:space="preserve"> eura</w:t>
            </w:r>
            <w:r>
              <w:rPr>
                <w:rFonts w:eastAsia="Times New Roman" w:cstheme="minorHAnsi"/>
                <w:bCs/>
              </w:rPr>
              <w:t>.</w:t>
            </w:r>
            <w:r w:rsidR="00DF2835">
              <w:rPr>
                <w:rFonts w:eastAsia="Times New Roman" w:cstheme="minorHAnsi"/>
                <w:bCs/>
              </w:rPr>
              <w:t xml:space="preserve"> Utrošeno za nabavu radnih bilježnica i materijala za nastavu učenika od prvog do osmog razreda koje je financirala Općina Čepin.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Ostali rashodi (38) su ostv</w:t>
            </w:r>
            <w:r w:rsidR="00E11168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u iznosu od </w:t>
            </w:r>
            <w:r w:rsidR="00DF2835">
              <w:rPr>
                <w:rFonts w:eastAsia="Times New Roman" w:cstheme="minorHAnsi"/>
                <w:bCs/>
              </w:rPr>
              <w:t>941,92</w:t>
            </w:r>
            <w:r w:rsidRPr="004C08D5">
              <w:rPr>
                <w:rFonts w:eastAsia="Times New Roman" w:cstheme="minorHAnsi"/>
                <w:bCs/>
              </w:rPr>
              <w:t xml:space="preserve"> eura, a to je iznos koji je bio nam</w:t>
            </w:r>
            <w:r w:rsidR="00E11168">
              <w:rPr>
                <w:rFonts w:eastAsia="Times New Roman" w:cstheme="minorHAnsi"/>
                <w:bCs/>
              </w:rPr>
              <w:t>i</w:t>
            </w:r>
            <w:r w:rsidRPr="004C08D5">
              <w:rPr>
                <w:rFonts w:eastAsia="Times New Roman" w:cstheme="minorHAnsi"/>
                <w:bCs/>
              </w:rPr>
              <w:t xml:space="preserve">jenjen za higijenske potrepštine.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Rashodi za nabavu nefinancijske imovine ostvar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 su u iznosu od</w:t>
            </w:r>
            <w:r w:rsidR="00E11168">
              <w:rPr>
                <w:rFonts w:eastAsia="Times New Roman" w:cstheme="minorHAnsi"/>
                <w:bCs/>
              </w:rPr>
              <w:t xml:space="preserve"> 21.736,73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 xml:space="preserve"> Iznos od 19.936,87 € odnosi se za nabavu udžbenika za učenike i iznos od 1.799,86 € odnosi se za nabavu uredske opreme.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E11168" w:rsidRDefault="00E11168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prihodima i rashodima prema izvorima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Prihodi prema izvorima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prema izvorima financiranja ostvareni su u iznosu od </w:t>
            </w:r>
            <w:r w:rsidR="00E11168">
              <w:rPr>
                <w:rFonts w:eastAsia="Times New Roman" w:cstheme="minorHAnsi"/>
                <w:bCs/>
              </w:rPr>
              <w:t>1.279.184,16€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8</w:t>
            </w:r>
            <w:r w:rsidR="00E11168">
              <w:rPr>
                <w:rFonts w:eastAsia="Times New Roman" w:cstheme="minorHAnsi"/>
                <w:bCs/>
              </w:rPr>
              <w:t>7,15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prema izvoru financiranja 11 i 12 ostvar</w:t>
            </w:r>
            <w:r w:rsidR="00E11168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E11168">
              <w:rPr>
                <w:rFonts w:eastAsia="Times New Roman" w:cstheme="minorHAnsi"/>
                <w:bCs/>
              </w:rPr>
              <w:t>9.709,26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odnosno </w:t>
            </w:r>
            <w:r w:rsidR="00E11168">
              <w:rPr>
                <w:rFonts w:eastAsia="Times New Roman" w:cstheme="minorHAnsi"/>
                <w:bCs/>
              </w:rPr>
              <w:t>91,13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Vlastiti prihodi (3) prema izvoru financiranja 32 ostvareni su u iznosu od </w:t>
            </w:r>
            <w:r w:rsidR="00E11168">
              <w:rPr>
                <w:rFonts w:eastAsia="Times New Roman" w:cstheme="minorHAnsi"/>
                <w:bCs/>
              </w:rPr>
              <w:t>4.042,73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E11168">
              <w:rPr>
                <w:rFonts w:eastAsia="Times New Roman" w:cstheme="minorHAnsi"/>
                <w:bCs/>
              </w:rPr>
              <w:t>65,49</w:t>
            </w:r>
            <w:r w:rsidRPr="004C08D5">
              <w:rPr>
                <w:rFonts w:eastAsia="Times New Roman" w:cstheme="minorHAnsi"/>
                <w:bCs/>
              </w:rPr>
              <w:t xml:space="preserve">%.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ostvareni su iznosu od </w:t>
            </w:r>
            <w:r w:rsidR="00E11168">
              <w:rPr>
                <w:rFonts w:eastAsia="Times New Roman" w:cstheme="minorHAnsi"/>
                <w:bCs/>
              </w:rPr>
              <w:t>58.176,18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E11168">
              <w:rPr>
                <w:rFonts w:eastAsia="Times New Roman" w:cstheme="minorHAnsi"/>
                <w:bCs/>
              </w:rPr>
              <w:t>91,87%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Razlog tome su dodijeljena sredstva od strane Županije.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Pomoći (5) prema izvoru financiranja 52 i 54 ostvareni su u iznosu od </w:t>
            </w:r>
            <w:r w:rsidR="00E11168">
              <w:rPr>
                <w:rFonts w:eastAsia="Times New Roman" w:cstheme="minorHAnsi"/>
                <w:bCs/>
              </w:rPr>
              <w:t>1.173.228,04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E11168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E11168">
              <w:rPr>
                <w:rFonts w:eastAsia="Times New Roman" w:cstheme="minorHAnsi"/>
                <w:bCs/>
              </w:rPr>
              <w:t>87,61</w:t>
            </w:r>
            <w:r w:rsidRPr="004C08D5">
              <w:rPr>
                <w:rFonts w:eastAsia="Times New Roman" w:cstheme="minorHAnsi"/>
                <w:bCs/>
              </w:rPr>
              <w:t>%. Najveći prihod je ostvaren upravo za plaće i materijalna prava zaposlenika.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Donacije (6) prema izvoru financiranj</w:t>
            </w:r>
            <w:r w:rsidR="00E11168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 xml:space="preserve"> 62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>ostvaren</w:t>
            </w:r>
            <w:r>
              <w:rPr>
                <w:rFonts w:eastAsia="Times New Roman" w:cstheme="minorHAnsi"/>
                <w:bCs/>
              </w:rPr>
              <w:t xml:space="preserve">e su u iznosu od </w:t>
            </w:r>
            <w:r w:rsidR="00E11168">
              <w:rPr>
                <w:rFonts w:eastAsia="Times New Roman" w:cstheme="minorHAnsi"/>
                <w:bCs/>
              </w:rPr>
              <w:t>34.027,95€</w:t>
            </w:r>
            <w:r>
              <w:rPr>
                <w:rFonts w:eastAsia="Times New Roman" w:cstheme="minorHAnsi"/>
                <w:bCs/>
              </w:rPr>
              <w:t xml:space="preserve"> ili </w:t>
            </w:r>
            <w:r w:rsidR="00E11168">
              <w:rPr>
                <w:rFonts w:eastAsia="Times New Roman" w:cstheme="minorHAnsi"/>
                <w:bCs/>
              </w:rPr>
              <w:t>70,06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.</w:t>
            </w:r>
            <w:r w:rsidR="00E11168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nabava radnog materijala i radnih bilježnica za učenike škole.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Rashodi prema izvoru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Rashodi prema izvorima financiranja ostvareni su u iznosu od </w:t>
            </w:r>
            <w:r w:rsidR="006A6F15">
              <w:rPr>
                <w:rFonts w:eastAsia="Times New Roman" w:cstheme="minorHAnsi"/>
                <w:bCs/>
              </w:rPr>
              <w:t>1.316.171,25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8</w:t>
            </w:r>
            <w:r w:rsidR="006A6F15">
              <w:rPr>
                <w:rFonts w:eastAsia="Times New Roman" w:cstheme="minorHAnsi"/>
                <w:bCs/>
              </w:rPr>
              <w:t>8,47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prema izvoru financiranja 11 i 12 ostvar</w:t>
            </w:r>
            <w:r w:rsidR="006A6F15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6A6F15">
              <w:rPr>
                <w:rFonts w:eastAsia="Times New Roman" w:cstheme="minorHAnsi"/>
                <w:bCs/>
              </w:rPr>
              <w:t>10.554,47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6F15">
              <w:rPr>
                <w:rFonts w:eastAsia="Times New Roman" w:cstheme="minorHAnsi"/>
                <w:bCs/>
              </w:rPr>
              <w:t>99,07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Vlastiti prihodi (3) prema izvoru financiranja 32 ostvar</w:t>
            </w:r>
            <w:r w:rsidR="006A6F15"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6A6F15">
              <w:rPr>
                <w:rFonts w:eastAsia="Times New Roman" w:cstheme="minorHAnsi"/>
                <w:bCs/>
              </w:rPr>
              <w:t>18.801,09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A6F15">
              <w:rPr>
                <w:rFonts w:eastAsia="Times New Roman" w:cstheme="minorHAnsi"/>
                <w:bCs/>
              </w:rPr>
              <w:t>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6F15">
              <w:rPr>
                <w:rFonts w:eastAsia="Times New Roman" w:cstheme="minorHAnsi"/>
                <w:bCs/>
              </w:rPr>
              <w:t>72,44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su ostvareni u iznosu od </w:t>
            </w:r>
            <w:r w:rsidR="006A6F15">
              <w:rPr>
                <w:rFonts w:eastAsia="Times New Roman" w:cstheme="minorHAnsi"/>
                <w:bCs/>
              </w:rPr>
              <w:t>52.558,58 €</w:t>
            </w:r>
            <w:r w:rsidRPr="004C08D5">
              <w:rPr>
                <w:rFonts w:eastAsia="Times New Roman" w:cstheme="minorHAnsi"/>
                <w:bCs/>
              </w:rPr>
              <w:t xml:space="preserve"> ili </w:t>
            </w:r>
            <w:r w:rsidR="006A6F15">
              <w:rPr>
                <w:rFonts w:eastAsia="Times New Roman" w:cstheme="minorHAnsi"/>
                <w:bCs/>
              </w:rPr>
              <w:t>83,00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potrošnja u skladu s dodijeljenim novcima od strane osnivača odnosno Županije.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Pomoći (5) prema izvoru financiranja 52 i 54 ostvareni su u iznosu od </w:t>
            </w:r>
            <w:r w:rsidR="006A6F15">
              <w:rPr>
                <w:rFonts w:eastAsia="Times New Roman" w:cstheme="minorHAnsi"/>
                <w:bCs/>
              </w:rPr>
              <w:t>1.198.418,24 €</w:t>
            </w:r>
            <w:r w:rsidRPr="004C08D5">
              <w:rPr>
                <w:rFonts w:eastAsia="Times New Roman" w:cstheme="minorHAnsi"/>
                <w:bCs/>
              </w:rPr>
              <w:t xml:space="preserve"> ili 89,</w:t>
            </w:r>
            <w:r w:rsidR="006A6F15">
              <w:rPr>
                <w:rFonts w:eastAsia="Times New Roman" w:cstheme="minorHAnsi"/>
                <w:bCs/>
              </w:rPr>
              <w:t xml:space="preserve">49 </w:t>
            </w:r>
            <w:r w:rsidRPr="004C08D5">
              <w:rPr>
                <w:rFonts w:eastAsia="Times New Roman" w:cstheme="minorHAnsi"/>
                <w:bCs/>
              </w:rPr>
              <w:t>% godišnjeg plana. Značajan utjecaj u ostvarenom iznosu očituje se kroz plaće i materijalna prava</w:t>
            </w:r>
            <w:r>
              <w:rPr>
                <w:rFonts w:eastAsia="Times New Roman" w:cstheme="minorHAnsi"/>
                <w:bCs/>
              </w:rPr>
              <w:t xml:space="preserve">. </w:t>
            </w:r>
            <w:r w:rsidRPr="004C08D5">
              <w:rPr>
                <w:rFonts w:eastAsia="Times New Roman" w:cstheme="minorHAnsi"/>
                <w:bCs/>
              </w:rPr>
              <w:t xml:space="preserve">Stoga možemo reći da navedeni projekt se troši u skladu s navedenim planom.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o rashodima prema funkcijskoj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Rashodi prema funkcijskoj klasifikaciji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su u iznosu od </w:t>
            </w:r>
            <w:r>
              <w:rPr>
                <w:rFonts w:eastAsia="Times New Roman" w:cstheme="minorHAnsi"/>
                <w:bCs/>
              </w:rPr>
              <w:t>611.164,17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>
              <w:rPr>
                <w:rFonts w:eastAsia="Times New Roman" w:cstheme="minorHAnsi"/>
                <w:bCs/>
              </w:rPr>
              <w:t>88,51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  <w:r>
              <w:rPr>
                <w:rFonts w:eastAsia="Times New Roman" w:cstheme="minorHAnsi"/>
                <w:bCs/>
              </w:rPr>
              <w:t>F</w:t>
            </w:r>
            <w:r w:rsidRPr="004C08D5">
              <w:rPr>
                <w:rFonts w:eastAsia="Times New Roman" w:cstheme="minorHAnsi"/>
                <w:bCs/>
              </w:rPr>
              <w:t xml:space="preserve">unkcijska klasifikacija obuhvaća sufinanciranje obvezne školske lektire, EU projekt – Učimo zajedno 6 i 7 i Pomoćnici u nastavi te Školsku shemu – voće, povrće i mlijeko i Vrijeme je za školski obrok. </w:t>
            </w:r>
            <w:r>
              <w:rPr>
                <w:rFonts w:eastAsia="Times New Roman" w:cstheme="minorHAnsi"/>
                <w:bCs/>
              </w:rPr>
              <w:t xml:space="preserve">Osnovno </w:t>
            </w:r>
            <w:r w:rsidRPr="004C08D5">
              <w:rPr>
                <w:rFonts w:eastAsia="Times New Roman" w:cstheme="minorHAnsi"/>
                <w:bCs/>
              </w:rPr>
              <w:t>školstvo vezan</w:t>
            </w:r>
            <w:r>
              <w:rPr>
                <w:rFonts w:eastAsia="Times New Roman" w:cstheme="minorHAnsi"/>
                <w:bCs/>
              </w:rPr>
              <w:t>o</w:t>
            </w:r>
            <w:r w:rsidRPr="004C08D5">
              <w:rPr>
                <w:rFonts w:eastAsia="Times New Roman" w:cstheme="minorHAnsi"/>
                <w:bCs/>
              </w:rPr>
              <w:t xml:space="preserve"> je uz sve preostale aktivnosti škole. Kako i vidimo ostvarenje prati dinamiku godišnjeg plana te plan nije ostvaren u cijelosti, već je manji za </w:t>
            </w:r>
            <w:r>
              <w:rPr>
                <w:rFonts w:eastAsia="Times New Roman" w:cstheme="minorHAnsi"/>
                <w:bCs/>
              </w:rPr>
              <w:t>11,49</w:t>
            </w:r>
            <w:r w:rsidRPr="004C08D5">
              <w:rPr>
                <w:rFonts w:eastAsia="Times New Roman" w:cstheme="minorHAnsi"/>
                <w:bCs/>
              </w:rPr>
              <w:t xml:space="preserve">% zbog razloga racionalizacija troškova. 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6A6F15" w:rsidRDefault="006A6F15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116044" w:rsidRDefault="00116044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4C08D5" w:rsidRDefault="00DE238A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</w:t>
            </w:r>
            <w:r w:rsidR="002F2927" w:rsidRPr="004C08D5">
              <w:rPr>
                <w:rFonts w:eastAsia="Times New Roman" w:cstheme="minorHAnsi"/>
                <w:b/>
                <w:bCs/>
              </w:rPr>
              <w:t>AČUN FINANCIRANJA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Osnovna škola nema primitka od financijske imovine i zaduživanja (8) kao i izdataka za otplatu glavnice primljenih kredita i zajmova (5). Škola se nije zaduživala u 2022. i 2023. godini.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  <w:p w:rsidR="002F2927" w:rsidRPr="004C08D5" w:rsidRDefault="002F2927" w:rsidP="002F2927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Osnovna škola  nema namjenskih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</w:t>
            </w:r>
            <w:r w:rsidR="00DE238A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zaduživanja – primitak (8) kao i namjenskih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</w:t>
            </w:r>
            <w:r w:rsidR="00DE238A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zaduživanja – izdataka (8).</w:t>
            </w:r>
          </w:p>
        </w:tc>
      </w:tr>
    </w:tbl>
    <w:p w:rsidR="00385AE1" w:rsidRDefault="00385AE1" w:rsidP="009A2D24"/>
    <w:p w:rsidR="00385AE1" w:rsidRDefault="00385AE1" w:rsidP="009A2D24"/>
    <w:p w:rsidR="004676C3" w:rsidRDefault="004676C3" w:rsidP="009A2D24"/>
    <w:p w:rsidR="009A2D24" w:rsidRDefault="009A2D24" w:rsidP="009A2D24"/>
    <w:p w:rsidR="009A2D24" w:rsidRDefault="009A2D24" w:rsidP="009A2D24"/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DE238A" w:rsidRDefault="00DE238A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A122E3" w:rsidRDefault="00A122E3" w:rsidP="009A2D2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:rsidR="009A2D24" w:rsidRPr="00DE238A" w:rsidRDefault="00DE238A" w:rsidP="009A2D24">
      <w:pPr>
        <w:spacing w:line="240" w:lineRule="auto"/>
        <w:jc w:val="both"/>
        <w:rPr>
          <w:b/>
          <w:bCs/>
          <w:color w:val="000000" w:themeColor="text1"/>
        </w:rPr>
      </w:pPr>
      <w:r w:rsidRPr="00DE238A">
        <w:rPr>
          <w:rFonts w:ascii="Calibri" w:eastAsia="Times New Roman" w:hAnsi="Calibri" w:cs="Calibri"/>
          <w:b/>
          <w:bCs/>
          <w:color w:val="000000" w:themeColor="text1"/>
        </w:rPr>
        <w:t>3.2.</w:t>
      </w:r>
      <w:r w:rsidR="009A2D24" w:rsidRPr="00DE238A">
        <w:rPr>
          <w:rFonts w:ascii="Calibri" w:eastAsia="Times New Roman" w:hAnsi="Calibri" w:cs="Calibri"/>
          <w:b/>
          <w:bCs/>
          <w:color w:val="000000" w:themeColor="text1"/>
        </w:rPr>
        <w:t>OBRAZLOŽENJE POSEBNOG DIJELA</w:t>
      </w:r>
      <w:r w:rsidRPr="00DE238A">
        <w:rPr>
          <w:rFonts w:ascii="Calibri" w:eastAsia="Times New Roman" w:hAnsi="Calibri" w:cs="Calibri"/>
          <w:b/>
          <w:bCs/>
          <w:color w:val="000000" w:themeColor="text1"/>
        </w:rPr>
        <w:t xml:space="preserve"> GODIŠNJEG IZVJEŠTAJA O IZVRŠENJU </w:t>
      </w:r>
      <w:r w:rsidR="009A2D24" w:rsidRPr="00DE238A">
        <w:rPr>
          <w:rFonts w:ascii="Calibri" w:eastAsia="Times New Roman" w:hAnsi="Calibri" w:cs="Calibri"/>
          <w:b/>
          <w:bCs/>
          <w:color w:val="000000" w:themeColor="text1"/>
        </w:rPr>
        <w:t xml:space="preserve"> FINANCIJSKOG PLANA ZA 2023.  GODIN</w:t>
      </w:r>
    </w:p>
    <w:p w:rsidR="009A2D24" w:rsidRPr="00315268" w:rsidRDefault="009A2D24" w:rsidP="009A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126"/>
      </w:tblGrid>
      <w:tr w:rsidR="009A2D24" w:rsidRPr="00315268" w:rsidTr="002F2927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NAZIV KORISNIKA: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SAŽETAK DJELOKRUGA RADA: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- </w:t>
            </w:r>
            <w:r w:rsidR="0032387B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.2023.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385AE1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OSNOVNA ŠKOLA MIROSLAVA KRLEŽE ČEPIN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385AE1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="00C85A07" w:rsidRPr="00C57BDC">
              <w:rPr>
                <w:rFonts w:ascii="Calibri" w:eastAsia="Times New Roman" w:hAnsi="Calibri" w:cs="Calibri"/>
                <w:sz w:val="20"/>
                <w:szCs w:val="20"/>
              </w:rPr>
              <w:t>Š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Miroslava Krleže 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je javna ustanova sa sjedištem u 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Čepinu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Kralja Zvonimira 100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>. Škola je započela s radom 1</w:t>
            </w:r>
            <w:r w:rsidR="00C85A07" w:rsidRPr="00C57BDC">
              <w:rPr>
                <w:rFonts w:ascii="Calibri" w:eastAsia="Times New Roman" w:hAnsi="Calibri" w:cs="Calibri"/>
                <w:sz w:val="20"/>
                <w:szCs w:val="20"/>
              </w:rPr>
              <w:t>968</w:t>
            </w:r>
            <w:r w:rsidR="009A2D24" w:rsidRPr="00C57BDC">
              <w:rPr>
                <w:rFonts w:ascii="Calibri" w:eastAsia="Times New Roman" w:hAnsi="Calibri" w:cs="Calibri"/>
                <w:sz w:val="20"/>
                <w:szCs w:val="20"/>
              </w:rPr>
              <w:t>. godine.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Nastava je organizirana  u jutarnjoj i poslijepodnevnoj smjeni, u petodnevnom radnom tjednu, sa slobodnim subotama.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Školu polazi </w:t>
            </w:r>
            <w:r w:rsidR="00C85A07" w:rsidRPr="00C57B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397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učenika razvrstanih u </w:t>
            </w:r>
            <w:r w:rsidR="00C85A07" w:rsidRPr="00C57B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  <w:r w:rsidRPr="00C57B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r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azredna odjela. 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Redovna, izborna, dodatna i dopunska nastava izvodi se prema nastavnim planovima i programima koje je donijelo Ministarstvo znanosti i obrazovanja, Godišnjem planu i programu rada Škole te Školskom kurikulumu za šk. god. 2022./2023.</w:t>
            </w:r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i </w:t>
            </w:r>
            <w:proofErr w:type="spellStart"/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>šk.god</w:t>
            </w:r>
            <w:proofErr w:type="spellEnd"/>
            <w:r w:rsidR="00C57BDC" w:rsidRPr="00C57BDC">
              <w:rPr>
                <w:rFonts w:ascii="Calibri" w:eastAsia="Times New Roman" w:hAnsi="Calibri" w:cs="Calibri"/>
                <w:sz w:val="20"/>
                <w:szCs w:val="20"/>
              </w:rPr>
              <w:t>. 2023./2024.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/>
              </w:rPr>
            </w:pP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U neposrednom radu s učenicima sudjeluje </w:t>
            </w:r>
            <w:r w:rsidR="00C85A07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35</w:t>
            </w:r>
            <w:r w:rsidRPr="00C57BDC">
              <w:rPr>
                <w:rFonts w:ascii="Calibri" w:eastAsia="Calibri" w:hAnsi="Calibri" w:cs="Calibri"/>
                <w:color w:val="FF0000"/>
                <w:sz w:val="20"/>
                <w:szCs w:val="20"/>
                <w:lang w:val="bs-Latn-BA"/>
              </w:rPr>
              <w:t xml:space="preserve"> 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nastavnika i  </w:t>
            </w:r>
            <w:r w:rsidR="00385AE1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3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 stručna suradnika: pedagog, psiholog</w:t>
            </w:r>
            <w:r w:rsidR="00385AE1"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 xml:space="preserve"> i </w:t>
            </w:r>
            <w:r w:rsidRPr="00C57BDC">
              <w:rPr>
                <w:rFonts w:ascii="Calibri" w:eastAsia="Calibri" w:hAnsi="Calibri" w:cs="Calibri"/>
                <w:sz w:val="20"/>
                <w:szCs w:val="20"/>
                <w:lang w:val="bs-Latn-BA"/>
              </w:rPr>
              <w:t>knjižničar.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Školski prostor je relativno prilagođen potrebama obrazovanja  (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kabineta za opće obrazovne predmete i  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15 učionica prilagođene održavanju razredne i predmetne nastave</w:t>
            </w: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), ali veći nedostatak predstavlja </w:t>
            </w:r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blagovaonica  za prehranu učenika koji se od drugog polugodišta </w:t>
            </w:r>
            <w:proofErr w:type="spellStart"/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>šk.god</w:t>
            </w:r>
            <w:proofErr w:type="spellEnd"/>
            <w:r w:rsidR="00E77179"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2022/2023 hrane svi učenici.</w:t>
            </w:r>
          </w:p>
          <w:p w:rsidR="009A2D24" w:rsidRPr="00C57BDC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Cilj škole je odgajati i obrazovati učenike u skladu s vrijednostima koje izviru iz europske i nacionalne tradicije, </w:t>
            </w:r>
            <w:proofErr w:type="spellStart"/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>interkulturalnih</w:t>
            </w:r>
            <w:proofErr w:type="spellEnd"/>
            <w:r w:rsidRPr="00C57BDC">
              <w:rPr>
                <w:rFonts w:ascii="Calibri" w:eastAsia="Times New Roman" w:hAnsi="Calibri" w:cs="Calibri"/>
                <w:sz w:val="20"/>
                <w:szCs w:val="20"/>
              </w:rPr>
              <w:t xml:space="preserve"> zahtjeva i ljudskih prava te osposobljavati učenike za život i rad u promjenjivom društveno kulturnom kontekstu u skladu sa suvremenim znanstvenim spoznajama, pluralističkim vrijednostima, moralno etičkim načelima i suvremenim informacijsko komunikacijskim tehnologijama.</w:t>
            </w:r>
          </w:p>
          <w:p w:rsidR="00C57BDC" w:rsidRPr="00C57BDC" w:rsidRDefault="00C57BDC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C85A07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Pregled financijskih sredstava po programima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tbl>
            <w:tblPr>
              <w:tblW w:w="7002" w:type="dxa"/>
              <w:tblLook w:val="04A0" w:firstRow="1" w:lastRow="0" w:firstColumn="1" w:lastColumn="0" w:noHBand="0" w:noVBand="1"/>
            </w:tblPr>
            <w:tblGrid>
              <w:gridCol w:w="531"/>
              <w:gridCol w:w="2520"/>
              <w:gridCol w:w="1287"/>
              <w:gridCol w:w="1280"/>
              <w:gridCol w:w="1485"/>
            </w:tblGrid>
            <w:tr w:rsidR="009A2D24" w:rsidRPr="00315268" w:rsidTr="002F2927">
              <w:trPr>
                <w:trHeight w:val="30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programa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2023.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   1. – </w:t>
                  </w:r>
                  <w:r w:rsidR="0032387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 2023.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9A2D24" w:rsidRPr="00315268" w:rsidTr="002F2927">
              <w:trPr>
                <w:trHeight w:val="67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700</w:t>
                  </w:r>
                  <w:r w:rsidR="00E77179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6</w:t>
                  </w: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FINANCIRANJE </w:t>
                  </w:r>
                  <w:r w:rsidR="00E77179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OSNOVNOG ŠKOLSTVA</w:t>
                  </w: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PREMA MINIMALNOM STANDARDU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77179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63.</w:t>
                  </w:r>
                  <w:r w:rsidR="00E1002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325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52.558,58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83,00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1207 RAZVOJ ODGOJNO-OBRAZOVNOG SUSTAVA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E77179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524FF2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2</w:t>
                  </w:r>
                  <w:r w:rsidR="00E1002E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7.426,00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26.725,40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524FF2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97,45</w:t>
                  </w:r>
                  <w:r w:rsidR="009A2D24" w:rsidRPr="00524FF2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PROGRAM 7011 FINANCIRANJE ŠKOLSTVA IZVAN ŽUPANIJSKOG PRORAČUNA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E1002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396.889,00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   </w:t>
                  </w:r>
                  <w:r w:rsidR="00E1002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1.236.887,27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88,55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hr-HR"/>
                    </w:rPr>
                    <w:t xml:space="preserve"> UKUPNO: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E1002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487.640,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1.316.171,5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A2D24" w:rsidRPr="00315268" w:rsidRDefault="00E1002E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88,47</w:t>
                  </w:r>
                  <w:r w:rsidR="009A2D24" w:rsidRPr="003152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9A2D24" w:rsidRDefault="009A2D24"/>
    <w:tbl>
      <w:tblPr>
        <w:tblW w:w="970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4"/>
        <w:gridCol w:w="222"/>
        <w:gridCol w:w="8278"/>
      </w:tblGrid>
      <w:tr w:rsidR="009A2D24" w:rsidRPr="00315268" w:rsidTr="00116044"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NAZIV PROGRAMA: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OPIS PROGRAMA, OPĆI I POSEBNI CILJEVI: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ZAKONSKA OSNOVA ZA UVOĐENJE PROGRAMA: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– </w:t>
            </w:r>
            <w:r w:rsidR="00CF0CC3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.2023.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A122E3" w:rsidRDefault="00A122E3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FA59A2" w:rsidRDefault="00FA59A2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POKAZATELJI USPJEŠNOSTI: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NAZIV PROGRAMA: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05619F" w:rsidRDefault="0005619F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OPIS PROGRAMA, OPĆI I POSEBNI CILJEVI: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ZAKONSKA OSNOVA ZA UVOĐENJE PROGRAMA:</w:t>
            </w: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IZVRŠENJE 1. – </w:t>
            </w:r>
            <w:r w:rsidR="0005619F">
              <w:rPr>
                <w:rFonts w:ascii="Calibri" w:eastAsia="Times New Roman" w:hAnsi="Calibri" w:cs="Calibri"/>
                <w:bCs/>
                <w:sz w:val="20"/>
                <w:szCs w:val="20"/>
              </w:rPr>
              <w:t>12</w:t>
            </w: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. 2023.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42B74" w:rsidRDefault="00942B7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OBRAZLOŽENJE IZVRŠENJA: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Cs/>
                <w:sz w:val="20"/>
                <w:szCs w:val="20"/>
              </w:rPr>
              <w:t>POKAZATELJI USPJEŠNOSTI: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1207 RAZVOJ ODGOJNO-OBRAZOVNOG SUSTAVA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Sva natjecanja, smotre i ostali susreti organizirat će se prema Katalogu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natjecanja smotri i </w:t>
            </w:r>
            <w:r w:rsidRPr="00C85A0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susreta AZOO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za školsku godinu 2022./2023. </w:t>
            </w:r>
            <w:r w:rsidR="00E1002E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i </w:t>
            </w:r>
            <w:proofErr w:type="spellStart"/>
            <w:r w:rsidR="00E1002E">
              <w:rPr>
                <w:rFonts w:ascii="Calibri" w:eastAsia="Times New Roman" w:hAnsi="Calibri" w:cs="Calibri"/>
                <w:iCs/>
                <w:sz w:val="20"/>
                <w:szCs w:val="20"/>
              </w:rPr>
              <w:t>š</w:t>
            </w:r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k.god</w:t>
            </w:r>
            <w:proofErr w:type="spellEnd"/>
            <w:r w:rsidR="00B84753">
              <w:rPr>
                <w:rFonts w:ascii="Calibri" w:eastAsia="Times New Roman" w:hAnsi="Calibri" w:cs="Calibri"/>
                <w:iCs/>
                <w:sz w:val="20"/>
                <w:szCs w:val="20"/>
              </w:rPr>
              <w:t>. 2023./2024.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Isto tako poticat ćemo i motivirati učenike za uključivanje i postizanje što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boljih rezultata u svim općeobrazovnim predmetima.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Osim navedenih natjecanja koje provode AZOO učenici u suradnji s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mentorima i voditeljima sudjeluju u velikom broju natjecanja koje organiziraju</w:t>
            </w:r>
          </w:p>
          <w:p w:rsidR="009A2D24" w:rsidRPr="00C85A07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agencije, udruge i centri izvan našeg sustava koji </w:t>
            </w:r>
            <w:r w:rsidRPr="00C85A07">
              <w:rPr>
                <w:rFonts w:ascii="Calibri" w:eastAsia="Times New Roman" w:hAnsi="Calibri" w:cs="Calibri"/>
                <w:iCs/>
                <w:sz w:val="20"/>
                <w:szCs w:val="20"/>
              </w:rPr>
              <w:t>potiču  kreativne kompetencije učenika.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Z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a organizaciju i izvođenje natjecanja predvidjeli smo troškove plaća, uredskog materijala, ugovora o djelu i reprezentacije.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Sufinanciranje obvezne školske lektire školi od strane osnivača Osječko-baranjske županije. Sredstva su namijenjena sufinanciranju i opremanju školske knjižnice obveznom školskom lektirom. Cilj je pridonijeti boljoj opremljenosti školske knjižnice dovoljnim brojem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primjeraka školske lektire i stručne literature u svrhu kvalitetnije realizacije obrazovnih programa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>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Školska shema – voće, povrće i mlijeko osigurava promicanje uravnotežene prehrane i zdravih prehrambenih navika učenika. </w:t>
            </w: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Učenicima se od domaćih proizvođača najmanje jednom tjedno dostavlja  svježe voće.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 xml:space="preserve">Sufinancirati pomoćnike u nastavi djeci s teškoćama putem EU projekta  „Učimo zajedno 6“. </w:t>
            </w:r>
          </w:p>
          <w:p w:rsidR="009A2D24" w:rsidRPr="00315268" w:rsidRDefault="009A2D24" w:rsidP="002F2927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  <w:lang w:eastAsia="hr-HR"/>
              </w:rPr>
              <w:t>Cilj je unapređenje socijalnog uključivanja učenika s teškoćama u redovit sustav obrazovanja.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Kako je u Školi zaposlen stručni suradnik edukator-</w:t>
            </w:r>
            <w:proofErr w:type="spellStart"/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>rehabilitator</w:t>
            </w:r>
            <w:proofErr w:type="spellEnd"/>
            <w:r w:rsidRPr="00315268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cilj je svim učenicima olakšati rad, učenje i boravak u Školi, a nastavnicima neposredan rad sa svim učenicima.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odgoju i obrazovanju u osnovnoj i srednjoj školi (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Narodne novine, broj: 87/08., 86/09., 92/10., 105/10., 90/11.,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5/12.,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16/12., 86/12.,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126/12.,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94/13., 152/14., 7/17., 68/18., 98/19.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64/20.</w:t>
            </w:r>
            <w:r w:rsidR="00B84753">
              <w:rPr>
                <w:rFonts w:ascii="Calibri" w:eastAsia="Times New Roman" w:hAnsi="Calibri" w:cs="Calibri"/>
                <w:sz w:val="20"/>
                <w:szCs w:val="20"/>
              </w:rPr>
              <w:t>,151/22 i 156/23.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ustanovama (Narodne novine, broj: 76/93., 29/97.,47/99., 35/08.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127/19.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151/22.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Zakon o proračunu (Narodne novine, broj: 144/21.),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Pravilnik o proračunskim klasifikacijama (Narodne novine, broj: 26/10., 120/13. i 1/20.),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Pravilnik o proračunskom računovodstvu i računskom planu (Narodne novine, broj: 124/14.,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 115/15., 87/16., 03/18., 126/19.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108/20.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158/23.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fiskalnoj odgovornosti (Narodne novine, broj: 111/18</w:t>
            </w:r>
            <w:r w:rsidR="00CF0CC3">
              <w:rPr>
                <w:rFonts w:ascii="Calibri" w:eastAsia="Times New Roman" w:hAnsi="Calibri" w:cs="Calibri"/>
                <w:sz w:val="20"/>
                <w:szCs w:val="20"/>
              </w:rPr>
              <w:t xml:space="preserve"> i 83/23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Uputa za izradu Odluke o izmjenama i dopunama proračuna Osječko-baranjske županije  za 2023. godinu (dopis Upravnog odjela za obrazovanje od 6. travnja 2023.)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uspostavi institucionalnog okvira za korištenje strukturnih instrumenata Europske unije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u Republici Hrvatskoj (Narodne novine, broj: 78/12., 143/13. i 157/13.).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24FF2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524FF2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524FF2" w:rsidRPr="00315268" w:rsidRDefault="00524FF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tbl>
            <w:tblPr>
              <w:tblW w:w="7460" w:type="dxa"/>
              <w:tblLook w:val="04A0" w:firstRow="1" w:lastRow="0" w:firstColumn="1" w:lastColumn="0" w:noHBand="0" w:noVBand="1"/>
            </w:tblPr>
            <w:tblGrid>
              <w:gridCol w:w="580"/>
              <w:gridCol w:w="3500"/>
              <w:gridCol w:w="1120"/>
              <w:gridCol w:w="1100"/>
              <w:gridCol w:w="1363"/>
            </w:tblGrid>
            <w:tr w:rsidR="009A2D24" w:rsidRPr="00315268" w:rsidTr="002F2927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2023.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1. – 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.2023.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143355" w:rsidRPr="00315268" w:rsidTr="00143355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3355" w:rsidRPr="00143355" w:rsidRDefault="00143355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143355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1207 RAZVOJ ODGOJNO-OBRAZOVNOG SUSTAVA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143355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27.426,00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Pr="00143355" w:rsidRDefault="00143355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26.725,40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143355" w:rsidRDefault="00143355" w:rsidP="00CC7F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Default="00E54459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E54459" w:rsidRPr="00143355" w:rsidRDefault="00CC7F93" w:rsidP="0014335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97,45%</w:t>
                  </w:r>
                </w:p>
              </w:tc>
            </w:tr>
            <w:tr w:rsidR="009A2D24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A1207 04 ORGANIZACIJA I IZVOĐENJE NATJECANJA I SMOTRI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568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2.565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9,92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CF0CC3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T1207 33 PROGRAMI I PROJEKTI U ODGOJU I OBRAZOVANJU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250,00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100,00%</w:t>
                  </w:r>
                </w:p>
              </w:tc>
            </w:tr>
            <w:tr w:rsidR="009A2D24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3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K1207 17 SUFINANCIRANJE OBAVEZNE ŠKOLSKE LEKTIRE U OSNOVNIM I SREDNJIM ŠKOLAMA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="00524FF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00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10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0,00%</w:t>
                  </w:r>
                </w:p>
              </w:tc>
            </w:tr>
            <w:tr w:rsidR="00CF0CC3" w:rsidRPr="00315268" w:rsidTr="002F2927">
              <w:trPr>
                <w:trHeight w:val="4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0CC3" w:rsidRPr="00315268" w:rsidRDefault="00CF0CC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T1207 21 PRODUŽENI BORAVAK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6.636,00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6.603,60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0CC3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99,51</w:t>
                  </w:r>
                </w:p>
              </w:tc>
            </w:tr>
            <w:tr w:rsidR="009A2D24" w:rsidRPr="00315268" w:rsidTr="002F2927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T1207 20 SHEMA - VOĆE, POVRĆE I MLIJEKO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4.994,0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4.790,72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          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95,93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2F2927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A54BA3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="000561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T1207 31 EU PROJEKTI – UČIMO ZAJEDNO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524FF2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CF0CC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2.778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12.315,13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CF0CC3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96,38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15268">
              <w:rPr>
                <w:rFonts w:ascii="Calibri" w:eastAsia="Times New Roman" w:hAnsi="Calibri" w:cs="Calibri"/>
              </w:rPr>
              <w:t>Aktivnost  A1207 – Organizacija i izvođenje natjecanja sukladno broja učenika te ostalih sudionika, članova županijskih i prosudbenih povjerenstava izvršena planiranom dinamikom.</w:t>
            </w:r>
          </w:p>
          <w:p w:rsidR="00970FB3" w:rsidRPr="00970FB3" w:rsidRDefault="00970FB3" w:rsidP="00970F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 xml:space="preserve">Aktivnost T1207 -  </w:t>
            </w:r>
            <w:r w:rsidRPr="00970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Osiguravanje besplatne predstave za učenike razredne nastave. Predstavu su u prostorima Škole izveli glumci Dječjeg kazališta Branko Mihaljević iz Osijeka. 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15268">
              <w:rPr>
                <w:rFonts w:ascii="Calibri" w:eastAsia="Times New Roman" w:hAnsi="Calibri" w:cs="Calibri"/>
              </w:rPr>
              <w:t>Aktivnost K1207 – Nabava obvezne školske lektire sukladn</w:t>
            </w:r>
            <w:r w:rsidR="00FA59A2">
              <w:rPr>
                <w:rFonts w:ascii="Calibri" w:eastAsia="Times New Roman" w:hAnsi="Calibri" w:cs="Calibri"/>
              </w:rPr>
              <w:t>o broju učenika</w:t>
            </w:r>
          </w:p>
          <w:p w:rsidR="00970FB3" w:rsidRPr="00315268" w:rsidRDefault="00970FB3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Aktivnost T1207 </w:t>
            </w:r>
            <w:r w:rsidR="00FA59A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A59A2">
              <w:rPr>
                <w:rFonts w:ascii="Calibri" w:eastAsia="Times New Roman" w:hAnsi="Calibri" w:cs="Calibri"/>
              </w:rPr>
              <w:t xml:space="preserve">Produženi boravak za učenike 1. razreda 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315268">
              <w:rPr>
                <w:rFonts w:ascii="Calibri" w:eastAsia="Times New Roman" w:hAnsi="Calibri" w:cs="Calibri"/>
                <w:bCs/>
              </w:rPr>
              <w:t>Aktivnost T1207 –</w:t>
            </w:r>
            <w:r w:rsidR="00FA59A2">
              <w:rPr>
                <w:rFonts w:ascii="Calibri" w:eastAsia="Times New Roman" w:hAnsi="Calibri" w:cs="Calibri"/>
                <w:bCs/>
              </w:rPr>
              <w:t xml:space="preserve"> Škola provodi školsku shemu sukladno Odluci Agencije za plaćanje u poljoprivredi,  ribarstvu i ruralnom razvoju. Sklopljen je ugovor o pristupanju i provedbi Školske sheme između Osječko-baranjske županije i škole. Planirana sredstva koriste se za shemu voće i školsko mlijeko</w:t>
            </w:r>
          </w:p>
          <w:p w:rsidR="00FA59A2" w:rsidRPr="00315268" w:rsidRDefault="00FA59A2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Aktivnost T1207 – Škola je potpisala i sporazum i partnerstvu sa školskim partnerima u okviru projekta „Učimo zajedno 6“ za školsku godinu 2022/2023. i „Učimo zajedno 7“ za školsku godinu 2023/2024.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1"/>
              <w:gridCol w:w="1031"/>
              <w:gridCol w:w="1394"/>
              <w:gridCol w:w="1405"/>
            </w:tblGrid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 xml:space="preserve">Ostvarena vrijednost 1. – </w:t>
                  </w:r>
                  <w:r w:rsidR="0005619F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.2023.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učenika uključenih u županijska i državna natjecanja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</w:rPr>
                    <w:t>63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učenika kojima je osigurano voće</w:t>
                  </w:r>
                  <w:r w:rsidR="0005619F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 xml:space="preserve"> i mlijeko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397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397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397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 pomoćnika u nastavi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FA59A2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FA59A2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05619F" w:rsidRDefault="00524FF2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</w:pPr>
                  <w:r w:rsidRPr="0005619F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</w:tr>
            <w:tr w:rsidR="0005619F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Pr="00315268" w:rsidRDefault="0005619F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Broje učenika u produženom boravku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5619F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5619F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19F" w:rsidRDefault="0005619F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7011 FINANCIRANJE ŠKOLSTVA IZVAN ŽUPANIJSKOG PRORAČUNA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Djelatnost </w:t>
            </w:r>
            <w:r w:rsidR="00524FF2">
              <w:rPr>
                <w:rFonts w:ascii="Calibri" w:eastAsia="Times New Roman" w:hAnsi="Calibri" w:cs="Calibri"/>
                <w:sz w:val="20"/>
                <w:szCs w:val="20"/>
              </w:rPr>
              <w:t xml:space="preserve">osnovnoškolskog 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odgoja i obrazovanja ostvaruje se u skladu s odredbama Zakona o odgoju i obrazovanju u osnovnoj i srednjoj školi </w:t>
            </w:r>
            <w:proofErr w:type="spellStart"/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podzakonskim</w:t>
            </w:r>
            <w:proofErr w:type="spellEnd"/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aktima (Pravilnicima), Zakona o ustanovama, naputcima savjetnika Agencije za odgoj i obrazovanje, odnosno voditelja Županijskih stručnih vijeća te Upravnog odjela za obrazovanje i mlade Osječko-baranjske županije.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" w:name="_Hlk103333568"/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Cilj programa je osigurati financijska sredstva za plaće i naknade zaposlenika koji aktivno sudjeluju provođenju programa obrazovanju</w:t>
            </w:r>
            <w:r w:rsidR="00524FF2">
              <w:rPr>
                <w:rFonts w:ascii="Calibri" w:eastAsia="Times New Roman" w:hAnsi="Calibri" w:cs="Calibri"/>
                <w:sz w:val="20"/>
                <w:szCs w:val="20"/>
              </w:rPr>
              <w:t xml:space="preserve"> učenika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bookmarkEnd w:id="1"/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Osigurati stručno i kvalitetno </w:t>
            </w:r>
            <w:r w:rsidRPr="00C85A07">
              <w:rPr>
                <w:rFonts w:ascii="Calibri" w:eastAsia="Times New Roman" w:hAnsi="Calibri" w:cs="Calibri"/>
                <w:sz w:val="20"/>
                <w:szCs w:val="20"/>
              </w:rPr>
              <w:t>nastavno o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soblje te ih poticati na daljnje razvijanje kroz edukacije i cjeloživotno učenje.</w:t>
            </w:r>
          </w:p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85A07" w:rsidRPr="00315268" w:rsidRDefault="00C85A07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odgoju i obrazovanju u osnovnoj i srednjoj školi (Narodne novine, broj: 87/08., 86/09., 92/10., 105/10., 90/11.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5/11.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, 16/12., 86/12.,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126/12.,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94/13., 152/14., 7/17., 68/18., 98/19.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64/20.</w:t>
            </w:r>
            <w:r w:rsidR="0005619F">
              <w:rPr>
                <w:rFonts w:ascii="Calibri" w:eastAsia="Times New Roman" w:hAnsi="Calibri" w:cs="Calibri"/>
                <w:sz w:val="20"/>
                <w:szCs w:val="20"/>
              </w:rPr>
              <w:t>, 151/22 i 156/23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ustanovama (Narodne novine, broj: 76/93., 29/97.,47/99., 35/08. i 127/19.)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- Zakon o proračunu (Narodne novine, broj: 144/21.), 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Pravilnik o proračunskom računovodstvu i računskom planu (Narodne novine, broj: 124/14.,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 115/15., 87/16., 03/18., 126/19. 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108/20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 xml:space="preserve"> i 158/23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.), </w:t>
            </w:r>
          </w:p>
          <w:p w:rsidR="009A2D24" w:rsidRPr="00CC7F93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fiskalnoj odgovornosti (Narodne novine, broj: 111/18</w:t>
            </w:r>
            <w:r w:rsidR="004D718C">
              <w:rPr>
                <w:rFonts w:ascii="Calibri" w:eastAsia="Times New Roman" w:hAnsi="Calibri" w:cs="Calibri"/>
                <w:sz w:val="20"/>
                <w:szCs w:val="20"/>
              </w:rPr>
              <w:t xml:space="preserve"> i 83/23</w:t>
            </w: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>- Zakon o uspostavi institucionalnog okvira za korištenje strukturnih instrumenata Europske unije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268">
              <w:rPr>
                <w:rFonts w:ascii="Calibri" w:eastAsia="Times New Roman" w:hAnsi="Calibri" w:cs="Calibri"/>
                <w:sz w:val="20"/>
                <w:szCs w:val="20"/>
              </w:rPr>
              <w:t xml:space="preserve">  u Republici Hrvatskoj (Narodne novine, broj: 78/12., 143/13. i 157/13.).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tbl>
            <w:tblPr>
              <w:tblW w:w="8052" w:type="dxa"/>
              <w:tblLook w:val="04A0" w:firstRow="1" w:lastRow="0" w:firstColumn="1" w:lastColumn="0" w:noHBand="0" w:noVBand="1"/>
            </w:tblPr>
            <w:tblGrid>
              <w:gridCol w:w="576"/>
              <w:gridCol w:w="3461"/>
              <w:gridCol w:w="1365"/>
              <w:gridCol w:w="1287"/>
              <w:gridCol w:w="1363"/>
            </w:tblGrid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R.b</w:t>
                  </w:r>
                  <w:proofErr w:type="spellEnd"/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2023.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Izvršenje 1. – 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12</w:t>
                  </w: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. 2023.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Indeks Izvršenje/Plan</w:t>
                  </w:r>
                </w:p>
              </w:tc>
            </w:tr>
            <w:tr w:rsidR="009A2D24" w:rsidRPr="00315268" w:rsidTr="00143355">
              <w:trPr>
                <w:trHeight w:val="4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7011 VLASTITI PRIHODI </w:t>
                  </w:r>
                  <w:r w:rsidR="009C603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–</w:t>
                  </w: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9C603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 xml:space="preserve">OSNOVNO </w:t>
                  </w: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ŠKOLSTVO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9A2D24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1.</w:t>
                  </w:r>
                  <w:r w:rsidR="004D718C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396.889,00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1.236.887,27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9A2D24" w:rsidRPr="00143355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</w:pPr>
                  <w:r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88,55</w:t>
                  </w:r>
                  <w:r w:rsidR="009A2D24" w:rsidRPr="0014335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4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3210 VLASTITI PRIHODI - PRORAČUNSKI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25.955,00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C603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8.801,09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72,44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5410 POMOĆI -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C603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  <w:r w:rsidR="004D718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322.367,00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1.182.247,31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89,40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  <w:tr w:rsidR="009A2D24" w:rsidRPr="00315268" w:rsidTr="00143355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2D24" w:rsidRPr="00315268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</w:pPr>
                  <w:r w:rsidRPr="00315268">
                    <w:rPr>
                      <w:rFonts w:ascii="Calibri" w:eastAsia="Times New Roman" w:hAnsi="Calibri" w:cs="Calibri"/>
                      <w:sz w:val="20"/>
                      <w:szCs w:val="20"/>
                      <w:lang w:eastAsia="hr-HR"/>
                    </w:rPr>
                    <w:t>6210 UGOVORI, DONACIJE - KORISNICI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48.567,00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35.838,87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2D24" w:rsidRPr="00315268" w:rsidRDefault="004D718C" w:rsidP="002F29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73,79</w:t>
                  </w:r>
                  <w:r w:rsidR="009A2D24" w:rsidRPr="0031526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%</w:t>
                  </w:r>
                </w:p>
              </w:tc>
            </w:tr>
          </w:tbl>
          <w:p w:rsidR="009A2D24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Financiranje školstva izvan županijskog proračuna predviđeno  je za financiranje plaća za zaposlenike, zajedno sa rashodima za doprinose  na plaće, ostali rashoda za zaposlene, naknada zaposlenicima za prijevoz na posao i s posla, naknada, nagrada i otpremnina, te nabavu udžbenika za učenike. </w:t>
            </w:r>
          </w:p>
          <w:p w:rsidR="007F41C4" w:rsidRDefault="007F41C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U skladu s Odlukom Vlade Republike Hrvatske o kriterijima i načinu financiranja odnosno sufinanciranja prehrane za učenike osnovnih škola NN 156/22.) U skladu s točkom V. Odluke </w:t>
            </w:r>
            <w:r w:rsidR="00942B74">
              <w:rPr>
                <w:rFonts w:ascii="Calibri" w:eastAsia="Times New Roman" w:hAnsi="Calibri" w:cs="Calibri"/>
                <w:bCs/>
                <w:sz w:val="20"/>
                <w:szCs w:val="20"/>
              </w:rPr>
              <w:t>propisano je da MZO mjesečno osigurava i doznačava sredstva za financiranje troškova prehrane.</w:t>
            </w:r>
          </w:p>
          <w:p w:rsidR="00942B74" w:rsidRPr="00315268" w:rsidRDefault="00942B7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Odlukom Općinskog vijeća Općine Čepin donesena je odluka o financiranju radnih bilježnika i radnog materijala za učenike, te dio plaće za učiteljicu u Produženom boravku.</w:t>
            </w: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1"/>
              <w:gridCol w:w="1559"/>
              <w:gridCol w:w="1276"/>
              <w:gridCol w:w="1276"/>
            </w:tblGrid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keepNext/>
                    <w:spacing w:after="0" w:line="240" w:lineRule="auto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Ostvarena</w:t>
                  </w:r>
                </w:p>
                <w:p w:rsidR="009A2D24" w:rsidRPr="00C85A07" w:rsidRDefault="009A2D24" w:rsidP="002F2927">
                  <w:pPr>
                    <w:keepNext/>
                    <w:spacing w:after="0" w:line="240" w:lineRule="auto"/>
                    <w:outlineLvl w:val="6"/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</w:pPr>
                  <w:r w:rsidRPr="00C85A07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:rsidR="009A2D24" w:rsidRPr="00C85A07" w:rsidRDefault="009A2D24" w:rsidP="002F2927">
                  <w:pPr>
                    <w:keepNext/>
                    <w:outlineLvl w:val="6"/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</w:pPr>
                  <w:r w:rsidRPr="00C85A07">
                    <w:rPr>
                      <w:rFonts w:ascii="Calibri" w:hAnsi="Calibri" w:cs="Calibri"/>
                      <w:bCs/>
                      <w:sz w:val="20"/>
                      <w:lang w:eastAsia="hr-HR"/>
                    </w:rPr>
                    <w:t>1.-6. 2023.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Broj učenika uključenih u različite školske projekte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</w:t>
                  </w:r>
                  <w:r w:rsidR="00CC7F93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85A07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highlight w:val="red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397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Stručno usavršavanje djelatnika u sklopu </w:t>
                  </w:r>
                  <w:proofErr w:type="spellStart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Erasmus</w:t>
                  </w:r>
                  <w:proofErr w:type="spellEnd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+ BE SMART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Broj učenika uključenih u </w:t>
                  </w:r>
                  <w:proofErr w:type="spellStart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Erasmus</w:t>
                  </w:r>
                  <w:proofErr w:type="spellEnd"/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+ projekt BE SMART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9A2D24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</w:t>
                  </w:r>
                </w:p>
              </w:tc>
            </w:tr>
            <w:tr w:rsidR="009A2D24" w:rsidRPr="00315268" w:rsidTr="002F2927">
              <w:trPr>
                <w:cantSplit/>
              </w:trPr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D24" w:rsidRPr="00C85A07" w:rsidRDefault="009A2D24" w:rsidP="002F29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C85A0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Broj projekata koje škole provode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D24" w:rsidRPr="00C85A07" w:rsidRDefault="00CC7F93" w:rsidP="002F29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A2D24" w:rsidRPr="00315268" w:rsidRDefault="009A2D24" w:rsidP="002F29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122E3" w:rsidRPr="00315268" w:rsidRDefault="00A122E3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CC7F93" w:rsidRDefault="009A2D24" w:rsidP="00CC7F93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</w:rPr>
      </w:pPr>
      <w:r w:rsidRPr="00CC7F93">
        <w:rPr>
          <w:rFonts w:ascii="Calibri" w:eastAsia="Times New Roman" w:hAnsi="Calibri" w:cs="Calibri"/>
          <w:b/>
        </w:rPr>
        <w:lastRenderedPageBreak/>
        <w:t>POSEBNI IZVJEŠTAJI U GODIŠNJEM IZVJEŠTAJU O IZVRŠENJU FINANCIJSKOG PLANA</w:t>
      </w:r>
    </w:p>
    <w:p w:rsidR="009A2D24" w:rsidRPr="00315268" w:rsidRDefault="009A2D24" w:rsidP="009A2D24">
      <w:pPr>
        <w:spacing w:after="0" w:line="240" w:lineRule="auto"/>
        <w:rPr>
          <w:rFonts w:ascii="Calibri" w:eastAsia="Times New Roman" w:hAnsi="Calibri" w:cs="Calibri"/>
        </w:rPr>
      </w:pPr>
    </w:p>
    <w:p w:rsidR="009A2D24" w:rsidRPr="00315268" w:rsidRDefault="009A2D24" w:rsidP="009A2D24">
      <w:pPr>
        <w:shd w:val="clear" w:color="auto" w:fill="FFFFFF"/>
        <w:spacing w:beforeAutospacing="1" w:after="0" w:line="240" w:lineRule="auto"/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315268">
        <w:rPr>
          <w:rFonts w:ascii="Calibri" w:eastAsia="Times New Roman" w:hAnsi="Calibri" w:cs="Calibri"/>
          <w:lang w:eastAsia="hr-HR"/>
        </w:rPr>
        <w:t xml:space="preserve">Škola nema </w:t>
      </w:r>
      <w:r w:rsidRPr="00315268">
        <w:rPr>
          <w:rFonts w:ascii="Calibri" w:eastAsia="Calibri" w:hAnsi="Calibri" w:cs="Calibri"/>
          <w:lang w:eastAsia="hr-HR"/>
        </w:rPr>
        <w:t>zaduživanja na domaćem i stranom tržištu novca i kapitala, nije  koristila sredstava fondova Europske unije,</w:t>
      </w:r>
      <w:r w:rsidRPr="00315268">
        <w:rPr>
          <w:rFonts w:ascii="Calibri" w:eastAsia="Times New Roman" w:hAnsi="Calibri" w:cs="Calibri"/>
          <w:lang w:eastAsia="hr-HR"/>
        </w:rPr>
        <w:t xml:space="preserve"> </w:t>
      </w:r>
      <w:r w:rsidRPr="00315268">
        <w:rPr>
          <w:rFonts w:ascii="Calibri" w:eastAsia="Times New Roman" w:hAnsi="Calibri" w:cs="Calibri"/>
          <w:sz w:val="24"/>
          <w:szCs w:val="24"/>
          <w:lang w:eastAsia="hr-HR"/>
        </w:rPr>
        <w:t>nema</w:t>
      </w:r>
      <w:r w:rsidRPr="00315268">
        <w:rPr>
          <w:rFonts w:ascii="Calibri" w:eastAsia="Calibri" w:hAnsi="Calibri" w:cs="Calibri"/>
          <w:lang w:eastAsia="hr-HR"/>
        </w:rPr>
        <w:t xml:space="preserve"> danih zajmovima i potraživanja po danim zajmovima, nema dospjelih obveza i potencijalnih obveza po osnovi sudskih sporova.</w:t>
      </w:r>
      <w:r w:rsidRPr="00315268">
        <w:rPr>
          <w:rFonts w:ascii="Calibri" w:eastAsia="Times New Roman" w:hAnsi="Calibri" w:cs="Calibri"/>
          <w:lang w:eastAsia="hr-HR"/>
        </w:rPr>
        <w:t xml:space="preserve"> </w:t>
      </w:r>
    </w:p>
    <w:p w:rsidR="009A2D24" w:rsidRDefault="009A2D24" w:rsidP="009A2D24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315268">
        <w:rPr>
          <w:rFonts w:ascii="Calibri" w:eastAsia="Times New Roman" w:hAnsi="Calibri" w:cs="Times New Roman"/>
        </w:rPr>
        <w:t>Iznos nenaplaćenih potraživanja za vlastite prihode na dan 3</w:t>
      </w:r>
      <w:r w:rsidR="00E96509">
        <w:rPr>
          <w:rFonts w:ascii="Calibri" w:eastAsia="Times New Roman" w:hAnsi="Calibri" w:cs="Times New Roman"/>
        </w:rPr>
        <w:t>1</w:t>
      </w:r>
      <w:r w:rsidRPr="00315268">
        <w:rPr>
          <w:rFonts w:ascii="Calibri" w:eastAsia="Times New Roman" w:hAnsi="Calibri" w:cs="Times New Roman"/>
        </w:rPr>
        <w:t>.</w:t>
      </w:r>
      <w:r w:rsidR="00E96509">
        <w:rPr>
          <w:rFonts w:ascii="Calibri" w:eastAsia="Times New Roman" w:hAnsi="Calibri" w:cs="Times New Roman"/>
        </w:rPr>
        <w:t>12</w:t>
      </w:r>
      <w:r w:rsidRPr="00315268">
        <w:rPr>
          <w:rFonts w:ascii="Calibri" w:eastAsia="Times New Roman" w:hAnsi="Calibri" w:cs="Times New Roman"/>
        </w:rPr>
        <w:t xml:space="preserve">.2023. godine iznosi </w:t>
      </w:r>
      <w:r w:rsidR="00E96509">
        <w:rPr>
          <w:rFonts w:ascii="Calibri" w:eastAsia="Times New Roman" w:hAnsi="Calibri" w:cs="Times New Roman"/>
        </w:rPr>
        <w:t>371,62</w:t>
      </w:r>
      <w:r w:rsidRPr="00315268">
        <w:rPr>
          <w:rFonts w:ascii="Calibri" w:eastAsia="Times New Roman" w:hAnsi="Calibri" w:cs="Times New Roman"/>
        </w:rPr>
        <w:t xml:space="preserve"> </w:t>
      </w:r>
      <w:r w:rsidR="00C7150B">
        <w:rPr>
          <w:rFonts w:ascii="Calibri" w:eastAsia="Times New Roman" w:hAnsi="Calibri" w:cs="Calibri"/>
        </w:rPr>
        <w:t>€</w:t>
      </w:r>
      <w:r w:rsidRPr="00315268">
        <w:rPr>
          <w:rFonts w:ascii="Calibri" w:eastAsia="Times New Roman" w:hAnsi="Calibri" w:cs="Times New Roman"/>
        </w:rPr>
        <w:t xml:space="preserve">, a odnosi se na potraživanja </w:t>
      </w:r>
      <w:r w:rsidR="00E96509">
        <w:rPr>
          <w:rFonts w:ascii="Calibri" w:eastAsia="Times New Roman" w:hAnsi="Calibri" w:cs="Times New Roman"/>
        </w:rPr>
        <w:t>od roditelja za prehranu učenika u produženom boravku</w:t>
      </w:r>
      <w:r w:rsidRPr="00315268">
        <w:rPr>
          <w:rFonts w:ascii="Calibri" w:eastAsia="Times New Roman" w:hAnsi="Calibri" w:cs="Times New Roman"/>
        </w:rPr>
        <w:t>. Za sva potraživanja se pravovremeno poduzimaju mjere naplate. Iznos dospjelih potraživanja na dan 3</w:t>
      </w:r>
      <w:r w:rsidR="00E96509">
        <w:rPr>
          <w:rFonts w:ascii="Calibri" w:eastAsia="Times New Roman" w:hAnsi="Calibri" w:cs="Times New Roman"/>
        </w:rPr>
        <w:t>1</w:t>
      </w:r>
      <w:r w:rsidRPr="00315268">
        <w:rPr>
          <w:rFonts w:ascii="Calibri" w:eastAsia="Times New Roman" w:hAnsi="Calibri" w:cs="Times New Roman"/>
        </w:rPr>
        <w:t>.</w:t>
      </w:r>
      <w:r w:rsidR="00E96509">
        <w:rPr>
          <w:rFonts w:ascii="Calibri" w:eastAsia="Times New Roman" w:hAnsi="Calibri" w:cs="Times New Roman"/>
        </w:rPr>
        <w:t>12</w:t>
      </w:r>
      <w:r w:rsidRPr="00315268">
        <w:rPr>
          <w:rFonts w:ascii="Calibri" w:eastAsia="Times New Roman" w:hAnsi="Calibri" w:cs="Times New Roman"/>
        </w:rPr>
        <w:t>.2023. iznosi 0,00</w:t>
      </w:r>
      <w:r w:rsidR="00C7150B">
        <w:rPr>
          <w:rFonts w:ascii="Calibri" w:eastAsia="Times New Roman" w:hAnsi="Calibri" w:cs="Calibri"/>
        </w:rPr>
        <w:t>€</w:t>
      </w:r>
      <w:r w:rsidRPr="00315268">
        <w:rPr>
          <w:rFonts w:ascii="Calibri" w:eastAsia="Times New Roman" w:hAnsi="Calibri" w:cs="Times New Roman"/>
        </w:rPr>
        <w:t>.</w:t>
      </w:r>
    </w:p>
    <w:p w:rsidR="00BC61AD" w:rsidRDefault="00BC61AD" w:rsidP="009A2D24">
      <w:pPr>
        <w:spacing w:after="0" w:line="276" w:lineRule="auto"/>
        <w:jc w:val="both"/>
        <w:rPr>
          <w:rFonts w:ascii="Calibri" w:eastAsia="Times New Roman" w:hAnsi="Calibri" w:cs="Times New Roman"/>
        </w:rPr>
      </w:pPr>
      <w:r>
        <w:rPr>
          <w:lang w:eastAsia="hr-HR"/>
        </w:rPr>
        <w:t>Manjak</w:t>
      </w:r>
      <w:r w:rsidRPr="00A2744D">
        <w:rPr>
          <w:lang w:eastAsia="hr-HR"/>
        </w:rPr>
        <w:t xml:space="preserve"> prihoda poslovanja  je </w:t>
      </w:r>
      <w:r>
        <w:rPr>
          <w:lang w:eastAsia="hr-HR"/>
        </w:rPr>
        <w:t>36.987,09</w:t>
      </w:r>
      <w:r w:rsidRPr="00A2744D">
        <w:rPr>
          <w:lang w:eastAsia="hr-HR"/>
        </w:rPr>
        <w:t xml:space="preserve"> </w:t>
      </w:r>
      <w:r>
        <w:rPr>
          <w:lang w:eastAsia="hr-HR"/>
        </w:rPr>
        <w:t>€</w:t>
      </w:r>
      <w:r w:rsidRPr="00A2744D">
        <w:rPr>
          <w:lang w:eastAsia="hr-HR"/>
        </w:rPr>
        <w:t xml:space="preserve"> što je financijski rezultat poslovanja u 202</w:t>
      </w:r>
      <w:r>
        <w:rPr>
          <w:lang w:eastAsia="hr-HR"/>
        </w:rPr>
        <w:t>3</w:t>
      </w:r>
      <w:r w:rsidRPr="00A2744D">
        <w:rPr>
          <w:lang w:eastAsia="hr-HR"/>
        </w:rPr>
        <w:t>. godine.</w:t>
      </w:r>
      <w:r>
        <w:rPr>
          <w:lang w:eastAsia="hr-HR"/>
        </w:rPr>
        <w:t xml:space="preserve"> Manja  se pojavio zbog uplate HZZ u studenome 2022.( 14.800,22€)    za isplatu plaća pedagoga koje je na stručnom osposobljavanju (od 1.11.2022.-31.10.2023.)  i uplate MZO za isplatu po sudskim sporovima uplaćeno u prosincu 2022.g. u iznosu od 22.242,64€, a isplata je izvršenja u siječnju 2023.g. za 14 zaposlenika, te sufinanciranje prehrane za prosinac 2023.g od strane OBŽ.</w:t>
      </w:r>
    </w:p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315268" w:rsidRDefault="009A2D24" w:rsidP="009A2D2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A2D24" w:rsidRPr="00315268" w:rsidRDefault="009A2D24" w:rsidP="009A2D2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>Voditelj računovodstva:</w:t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          </w:t>
      </w:r>
      <w:r w:rsidRPr="00315268">
        <w:rPr>
          <w:rFonts w:ascii="Calibri" w:eastAsia="Times New Roman" w:hAnsi="Calibri" w:cs="Times New Roman"/>
          <w:sz w:val="24"/>
          <w:szCs w:val="24"/>
        </w:rPr>
        <w:t>Ravnateljica:</w:t>
      </w:r>
    </w:p>
    <w:p w:rsidR="009A2D24" w:rsidRPr="00315268" w:rsidRDefault="00C7150B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Mijana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Perić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="009A2D24" w:rsidRPr="00315268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Branka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Mack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Savanović</w:t>
      </w:r>
      <w:proofErr w:type="spellEnd"/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  <w:t>Predsj</w:t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ednica </w:t>
      </w:r>
      <w:r w:rsidRPr="00315268">
        <w:rPr>
          <w:rFonts w:ascii="Calibri" w:eastAsia="Times New Roman" w:hAnsi="Calibri" w:cs="Times New Roman"/>
          <w:sz w:val="24"/>
          <w:szCs w:val="24"/>
        </w:rPr>
        <w:t xml:space="preserve"> Školskog odbora</w:t>
      </w:r>
    </w:p>
    <w:p w:rsidR="009A2D24" w:rsidRPr="00315268" w:rsidRDefault="009A2D24" w:rsidP="009A2D2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Pr="00315268">
        <w:rPr>
          <w:rFonts w:ascii="Calibri" w:eastAsia="Times New Roman" w:hAnsi="Calibri" w:cs="Times New Roman"/>
          <w:sz w:val="24"/>
          <w:szCs w:val="24"/>
        </w:rPr>
        <w:tab/>
      </w:r>
      <w:r w:rsidR="00C7150B">
        <w:rPr>
          <w:rFonts w:ascii="Calibri" w:eastAsia="Times New Roman" w:hAnsi="Calibri" w:cs="Times New Roman"/>
          <w:sz w:val="24"/>
          <w:szCs w:val="24"/>
        </w:rPr>
        <w:t xml:space="preserve">            Alenka Popić</w:t>
      </w:r>
    </w:p>
    <w:p w:rsidR="009A2D24" w:rsidRDefault="009A2D24" w:rsidP="009A2D24"/>
    <w:p w:rsidR="009A2D24" w:rsidRDefault="009A2D24"/>
    <w:p w:rsidR="009A2D24" w:rsidRDefault="009A2D24"/>
    <w:sectPr w:rsidR="009A2D24" w:rsidSect="007B5A7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9D" w:rsidRDefault="00E05E9D" w:rsidP="00A122E3">
      <w:pPr>
        <w:spacing w:after="0" w:line="240" w:lineRule="auto"/>
      </w:pPr>
      <w:r>
        <w:separator/>
      </w:r>
    </w:p>
  </w:endnote>
  <w:endnote w:type="continuationSeparator" w:id="0">
    <w:p w:rsidR="00E05E9D" w:rsidRDefault="00E05E9D" w:rsidP="00A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533213"/>
      <w:docPartObj>
        <w:docPartGallery w:val="Page Numbers (Bottom of Page)"/>
        <w:docPartUnique/>
      </w:docPartObj>
    </w:sdtPr>
    <w:sdtEndPr/>
    <w:sdtContent>
      <w:p w:rsidR="00A122E3" w:rsidRDefault="00A122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22E3" w:rsidRDefault="00A122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9D" w:rsidRDefault="00E05E9D" w:rsidP="00A122E3">
      <w:pPr>
        <w:spacing w:after="0" w:line="240" w:lineRule="auto"/>
      </w:pPr>
      <w:r>
        <w:separator/>
      </w:r>
    </w:p>
  </w:footnote>
  <w:footnote w:type="continuationSeparator" w:id="0">
    <w:p w:rsidR="00E05E9D" w:rsidRDefault="00E05E9D" w:rsidP="00A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6CE"/>
    <w:multiLevelType w:val="hybridMultilevel"/>
    <w:tmpl w:val="A8FC6A1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4"/>
    <w:rsid w:val="0005619F"/>
    <w:rsid w:val="00113B38"/>
    <w:rsid w:val="00116044"/>
    <w:rsid w:val="00143355"/>
    <w:rsid w:val="00234884"/>
    <w:rsid w:val="002C0911"/>
    <w:rsid w:val="002F2927"/>
    <w:rsid w:val="0032387B"/>
    <w:rsid w:val="00327F21"/>
    <w:rsid w:val="00334747"/>
    <w:rsid w:val="003848AE"/>
    <w:rsid w:val="00385AE1"/>
    <w:rsid w:val="004676C3"/>
    <w:rsid w:val="004D718C"/>
    <w:rsid w:val="00524FF2"/>
    <w:rsid w:val="00630166"/>
    <w:rsid w:val="00694BCD"/>
    <w:rsid w:val="006A6F15"/>
    <w:rsid w:val="007B5A7F"/>
    <w:rsid w:val="007F41C4"/>
    <w:rsid w:val="00942B74"/>
    <w:rsid w:val="00970FB3"/>
    <w:rsid w:val="0098192C"/>
    <w:rsid w:val="00984B28"/>
    <w:rsid w:val="009A2D24"/>
    <w:rsid w:val="009C603C"/>
    <w:rsid w:val="00A122E3"/>
    <w:rsid w:val="00A54BA3"/>
    <w:rsid w:val="00AC4004"/>
    <w:rsid w:val="00B84753"/>
    <w:rsid w:val="00BC61AD"/>
    <w:rsid w:val="00C57BDC"/>
    <w:rsid w:val="00C7150B"/>
    <w:rsid w:val="00C85A07"/>
    <w:rsid w:val="00CC7F93"/>
    <w:rsid w:val="00CF0CC3"/>
    <w:rsid w:val="00DE238A"/>
    <w:rsid w:val="00DF2835"/>
    <w:rsid w:val="00E05E9D"/>
    <w:rsid w:val="00E1002E"/>
    <w:rsid w:val="00E11168"/>
    <w:rsid w:val="00E429B4"/>
    <w:rsid w:val="00E54459"/>
    <w:rsid w:val="00E77179"/>
    <w:rsid w:val="00E96509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28EE"/>
  <w15:chartTrackingRefBased/>
  <w15:docId w15:val="{F109DD41-5D59-4BD2-BDF0-6CCD3ABD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D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9A2D24"/>
    <w:rPr>
      <w:i/>
      <w:iCs/>
      <w:color w:val="404040" w:themeColor="text1" w:themeTint="BF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563C1"/>
      <w:u w:val="single"/>
    </w:rPr>
  </w:style>
  <w:style w:type="paragraph" w:customStyle="1" w:styleId="msonormal0">
    <w:name w:val="msonormal"/>
    <w:basedOn w:val="Normal"/>
    <w:rsid w:val="002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2F292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2F29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2F29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2F29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C7F9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22E3"/>
  </w:style>
  <w:style w:type="paragraph" w:styleId="Podnoje">
    <w:name w:val="footer"/>
    <w:basedOn w:val="Normal"/>
    <w:link w:val="PodnojeChar"/>
    <w:uiPriority w:val="99"/>
    <w:unhideWhenUsed/>
    <w:rsid w:val="00A1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22E3"/>
  </w:style>
  <w:style w:type="paragraph" w:styleId="Tekstbalonia">
    <w:name w:val="Balloon Text"/>
    <w:basedOn w:val="Normal"/>
    <w:link w:val="TekstbaloniaChar"/>
    <w:uiPriority w:val="99"/>
    <w:semiHidden/>
    <w:unhideWhenUsed/>
    <w:rsid w:val="002C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4011-8358-4523-A6F9-F458D67E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22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cp:lastPrinted>2024-03-28T07:25:00Z</cp:lastPrinted>
  <dcterms:created xsi:type="dcterms:W3CDTF">2023-07-24T08:30:00Z</dcterms:created>
  <dcterms:modified xsi:type="dcterms:W3CDTF">2024-03-28T07:25:00Z</dcterms:modified>
</cp:coreProperties>
</file>